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85271" w:rsidR="00E1537C" w:rsidRDefault="00314AD9" w14:paraId="2398C0A5" w14:textId="157B6563">
      <w:pPr>
        <w:rPr>
          <w:rFonts w:ascii="Garamond" w:hAnsi="Garamond" w:cs="Times New Roman"/>
          <w:b/>
          <w:bCs/>
          <w:sz w:val="28"/>
          <w:szCs w:val="28"/>
        </w:rPr>
      </w:pPr>
      <w:r w:rsidRPr="00385271">
        <w:rPr>
          <w:rFonts w:ascii="Garamond" w:hAnsi="Garamond" w:cs="Times New Roman"/>
          <w:sz w:val="28"/>
          <w:szCs w:val="28"/>
        </w:rPr>
        <w:t xml:space="preserve"> </w:t>
      </w:r>
      <w:r w:rsidRPr="00385271">
        <w:rPr>
          <w:rFonts w:ascii="Garamond" w:hAnsi="Garamond" w:cs="Times New Roman"/>
          <w:b/>
          <w:bCs/>
          <w:sz w:val="28"/>
          <w:szCs w:val="28"/>
        </w:rPr>
        <w:t xml:space="preserve">Course module summary </w:t>
      </w:r>
    </w:p>
    <w:tbl>
      <w:tblPr>
        <w:tblW w:w="9662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1080"/>
        <w:gridCol w:w="1170"/>
        <w:gridCol w:w="1890"/>
        <w:gridCol w:w="2425"/>
      </w:tblGrid>
      <w:tr w:rsidRPr="00385271" w:rsidR="00B869C9" w:rsidTr="004655D4" w14:paraId="3E86A058" w14:textId="77777777">
        <w:trPr>
          <w:trHeight w:val="377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B869C9" w:rsidP="004655D4" w:rsidRDefault="00B869C9" w14:paraId="275B431D" w14:textId="37648728">
            <w:pPr>
              <w:rPr>
                <w:rFonts w:ascii="Garamond" w:hAnsi="Garamond" w:cs="Times New Roman"/>
                <w:sz w:val="24"/>
                <w:szCs w:val="24"/>
              </w:rPr>
            </w:pPr>
            <w:bookmarkStart w:name="Removable_non_important_data_for_SL" w:colFirst="0" w:colLast="1" w:id="0"/>
            <w:r w:rsidRPr="00385271">
              <w:rPr>
                <w:rFonts w:ascii="Garamond" w:hAnsi="Garamond" w:cs="Times New Roman"/>
                <w:sz w:val="24"/>
                <w:szCs w:val="24"/>
              </w:rPr>
              <w:t>Course development lead</w:t>
            </w:r>
          </w:p>
        </w:tc>
        <w:tc>
          <w:tcPr>
            <w:tcW w:w="6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B869C9" w:rsidP="004655D4" w:rsidRDefault="00385271" w14:paraId="732A72E5" w14:textId="70AC9C6F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r>
              <w:rPr>
                <w:rFonts w:ascii="Garamond" w:hAnsi="Garamond" w:cs="Times New Roman"/>
                <w:b/>
                <w:sz w:val="28"/>
                <w:szCs w:val="28"/>
              </w:rPr>
              <w:t xml:space="preserve">Dr. </w:t>
            </w:r>
            <w:r w:rsidRPr="00385271" w:rsidR="00B869C9">
              <w:rPr>
                <w:rFonts w:ascii="Garamond" w:hAnsi="Garamond" w:cs="Times New Roman"/>
                <w:b/>
                <w:sz w:val="28"/>
                <w:szCs w:val="28"/>
              </w:rPr>
              <w:t>Anamarija Kejžar</w:t>
            </w:r>
          </w:p>
        </w:tc>
      </w:tr>
      <w:bookmarkEnd w:id="0"/>
      <w:tr w:rsidRPr="00385271" w:rsidR="00475202" w:rsidTr="004655D4" w14:paraId="73385600" w14:textId="77777777">
        <w:trPr>
          <w:trHeight w:val="377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646E3152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Semester/Term </w:t>
            </w:r>
          </w:p>
        </w:tc>
        <w:tc>
          <w:tcPr>
            <w:tcW w:w="6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B869C9" w14:paraId="7266F7AB" w14:textId="26A1DB5B">
            <w:pPr>
              <w:rPr>
                <w:rFonts w:ascii="Garamond" w:hAnsi="Garamond" w:cs="Times New Roman"/>
                <w:sz w:val="24"/>
                <w:szCs w:val="24"/>
              </w:rPr>
            </w:pPr>
            <w:bookmarkStart w:name="To_be_added_later_1" w:id="1"/>
            <w:r w:rsidRPr="00385271">
              <w:rPr>
                <w:rFonts w:ascii="Garamond" w:hAnsi="Garamond" w:cs="Times New Roman"/>
                <w:sz w:val="24"/>
                <w:szCs w:val="24"/>
              </w:rPr>
              <w:t>&gt;&gt;to be added later&lt;&lt;</w:t>
            </w:r>
            <w:bookmarkEnd w:id="1"/>
          </w:p>
        </w:tc>
      </w:tr>
      <w:tr w:rsidRPr="00385271" w:rsidR="00475202" w:rsidTr="004655D4" w14:paraId="5CE17DB2" w14:textId="77777777">
        <w:trPr>
          <w:trHeight w:val="377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53483A01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Course Unit/Module Code:</w:t>
            </w:r>
          </w:p>
        </w:tc>
        <w:tc>
          <w:tcPr>
            <w:tcW w:w="6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B869C9" w14:paraId="14E629E2" w14:textId="2A68F306">
            <w:pPr>
              <w:rPr>
                <w:rFonts w:ascii="Garamond" w:hAnsi="Garamond" w:cs="Times New Roman"/>
                <w:sz w:val="24"/>
                <w:szCs w:val="24"/>
              </w:rPr>
            </w:pPr>
            <w:bookmarkStart w:name="To_be_added_later_2" w:id="2"/>
            <w:r w:rsidRPr="00385271">
              <w:rPr>
                <w:rFonts w:ascii="Garamond" w:hAnsi="Garamond" w:cs="Times New Roman"/>
                <w:sz w:val="24"/>
                <w:szCs w:val="24"/>
              </w:rPr>
              <w:t>&gt;&gt;to be added later&lt;&lt;</w:t>
            </w:r>
            <w:bookmarkEnd w:id="2"/>
          </w:p>
        </w:tc>
      </w:tr>
      <w:tr w:rsidRPr="00385271" w:rsidR="00475202" w:rsidTr="004655D4" w14:paraId="3085EFC1" w14:textId="77777777">
        <w:trPr>
          <w:trHeight w:val="377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519FF127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Course Unit/Module Name:</w:t>
            </w:r>
          </w:p>
        </w:tc>
        <w:tc>
          <w:tcPr>
            <w:tcW w:w="6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7FF336B0" w14:textId="77777777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385271">
              <w:rPr>
                <w:rFonts w:ascii="Garamond" w:hAnsi="Garamond" w:cs="Times New Roman"/>
                <w:b/>
                <w:sz w:val="28"/>
                <w:szCs w:val="28"/>
              </w:rPr>
              <w:t>Family &amp; Societal Perspectives</w:t>
            </w:r>
          </w:p>
        </w:tc>
      </w:tr>
      <w:tr w:rsidRPr="00385271" w:rsidR="00475202" w:rsidTr="004655D4" w14:paraId="140D9544" w14:textId="77777777">
        <w:trPr>
          <w:trHeight w:val="377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1D4B95A8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Credit Value:</w:t>
            </w:r>
          </w:p>
        </w:tc>
        <w:tc>
          <w:tcPr>
            <w:tcW w:w="6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77B92000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01</w:t>
            </w:r>
          </w:p>
        </w:tc>
      </w:tr>
      <w:tr w:rsidRPr="00385271" w:rsidR="00475202" w:rsidTr="004655D4" w14:paraId="6736A8E7" w14:textId="77777777">
        <w:trPr>
          <w:trHeight w:val="377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68240F84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Core/Optional</w:t>
            </w:r>
          </w:p>
        </w:tc>
        <w:tc>
          <w:tcPr>
            <w:tcW w:w="6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4A743589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Core</w:t>
            </w:r>
          </w:p>
        </w:tc>
      </w:tr>
      <w:tr w:rsidRPr="00385271" w:rsidR="00475202" w:rsidTr="004655D4" w14:paraId="74E699AD" w14:textId="77777777">
        <w:trPr>
          <w:trHeight w:val="377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36FA817B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Pre-requisites </w:t>
            </w:r>
          </w:p>
        </w:tc>
        <w:tc>
          <w:tcPr>
            <w:tcW w:w="6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4346242D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None</w:t>
            </w:r>
          </w:p>
        </w:tc>
      </w:tr>
      <w:tr w:rsidRPr="00385271" w:rsidR="00475202" w:rsidTr="004655D4" w14:paraId="4ADE28A6" w14:textId="77777777">
        <w:trPr>
          <w:trHeight w:val="465"/>
        </w:trPr>
        <w:tc>
          <w:tcPr>
            <w:tcW w:w="3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4DA27F0D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Hourly Breakdown </w:t>
            </w:r>
          </w:p>
          <w:p w:rsidRPr="00385271" w:rsidR="00475202" w:rsidP="004655D4" w:rsidRDefault="00475202" w14:paraId="6DF103A4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52259653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Theory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0704CFCA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Practical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5EA41F7E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59591DEE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Independent learning </w:t>
            </w:r>
          </w:p>
        </w:tc>
      </w:tr>
      <w:tr w:rsidRPr="00385271" w:rsidR="00475202" w:rsidTr="004655D4" w14:paraId="27E7DD25" w14:textId="77777777">
        <w:trPr>
          <w:trHeight w:val="436"/>
        </w:trPr>
        <w:tc>
          <w:tcPr>
            <w:tcW w:w="3097" w:type="dxa"/>
            <w:vMerge/>
          </w:tcPr>
          <w:p w:rsidRPr="00385271" w:rsidR="00475202" w:rsidP="004655D4" w:rsidRDefault="00475202" w14:paraId="47CA4571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35D6D16D" w14:textId="77777777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0D2D001E" w14:textId="77777777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126A373F" w14:textId="77777777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0FD63625" w14:textId="77777777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</w:tr>
      <w:tr w:rsidRPr="00385271" w:rsidR="00475202" w:rsidTr="004655D4" w14:paraId="52DF8678" w14:textId="77777777">
        <w:trPr>
          <w:trHeight w:val="377"/>
        </w:trPr>
        <w:tc>
          <w:tcPr>
            <w:tcW w:w="9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475202" w14:paraId="051B94A9" w14:textId="77777777">
            <w:pPr>
              <w:rPr>
                <w:rFonts w:ascii="Garamond" w:hAnsi="Garamond" w:cs="Times New Roman"/>
                <w:b/>
                <w:i/>
                <w:sz w:val="28"/>
                <w:szCs w:val="28"/>
              </w:rPr>
            </w:pPr>
            <w:r w:rsidRPr="00385271">
              <w:rPr>
                <w:rFonts w:ascii="Garamond" w:hAnsi="Garamond" w:cs="Times New Roman"/>
                <w:b/>
                <w:i/>
                <w:sz w:val="28"/>
                <w:szCs w:val="28"/>
              </w:rPr>
              <w:t xml:space="preserve">Intended Learning Outcomes: </w:t>
            </w:r>
          </w:p>
          <w:p w:rsidRPr="00385271" w:rsidR="00475202" w:rsidP="004655D4" w:rsidRDefault="00475202" w14:paraId="0E22BE10" w14:textId="014494CF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At the completion of this course student will be able</w:t>
            </w:r>
            <w:r w:rsidRPr="00385271" w:rsidR="00C40C1F">
              <w:rPr>
                <w:rFonts w:ascii="Garamond" w:hAnsi="Garamond" w:cs="Times New Roman"/>
                <w:sz w:val="24"/>
                <w:szCs w:val="24"/>
              </w:rPr>
              <w:t xml:space="preserve"> to;</w:t>
            </w:r>
          </w:p>
          <w:p w:rsidRPr="00385271" w:rsidR="00475202" w:rsidP="000A595B" w:rsidRDefault="00C40C1F" w14:paraId="65E214CC" w14:textId="5FD65AE8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identify</w:t>
            </w:r>
            <w:r w:rsidRPr="00385271" w:rsidR="00475202">
              <w:rPr>
                <w:rFonts w:ascii="Garamond" w:hAnsi="Garamond" w:cs="Times New Roman"/>
                <w:sz w:val="24"/>
                <w:szCs w:val="24"/>
              </w:rPr>
              <w:t xml:space="preserve"> the process of ageing in 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the </w:t>
            </w:r>
            <w:r w:rsidRPr="00385271" w:rsidR="00475202">
              <w:rPr>
                <w:rFonts w:ascii="Garamond" w:hAnsi="Garamond" w:cs="Times New Roman"/>
                <w:sz w:val="24"/>
                <w:szCs w:val="24"/>
              </w:rPr>
              <w:t>famil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y/</w:t>
            </w:r>
            <w:r w:rsidRPr="00385271" w:rsidR="00475202">
              <w:rPr>
                <w:rFonts w:ascii="Garamond" w:hAnsi="Garamond" w:cs="Times New Roman"/>
                <w:sz w:val="24"/>
                <w:szCs w:val="24"/>
              </w:rPr>
              <w:t>society</w:t>
            </w:r>
          </w:p>
          <w:p w:rsidRPr="00385271" w:rsidR="00475202" w:rsidP="000A595B" w:rsidRDefault="00475202" w14:paraId="2D44BDA9" w14:textId="1A0E845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describe the </w:t>
            </w:r>
            <w:r w:rsidRPr="00385271" w:rsidR="00C40C1F">
              <w:rPr>
                <w:rFonts w:ascii="Garamond" w:hAnsi="Garamond" w:cs="Times New Roman"/>
                <w:sz w:val="24"/>
                <w:szCs w:val="24"/>
              </w:rPr>
              <w:t xml:space="preserve">coping strategies 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with family</w:t>
            </w:r>
            <w:r w:rsidRPr="00385271" w:rsidR="00C40C1F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  <w:p w:rsidRPr="00385271" w:rsidR="00475202" w:rsidP="000A595B" w:rsidRDefault="00475202" w14:paraId="412CD748" w14:textId="7EA75EB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describe the concept of personal planning with shared decision making</w:t>
            </w:r>
          </w:p>
          <w:p w:rsidRPr="00385271" w:rsidR="00475202" w:rsidP="000A595B" w:rsidRDefault="00984C17" w14:paraId="704BCBA8" w14:textId="1198D06E">
            <w:pPr>
              <w:pStyle w:val="Odstavekseznama"/>
              <w:numPr>
                <w:ilvl w:val="0"/>
                <w:numId w:val="1"/>
              </w:num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identify</w:t>
            </w:r>
            <w:r w:rsidRPr="00385271" w:rsidR="00475202">
              <w:rPr>
                <w:rFonts w:ascii="Garamond" w:hAnsi="Garamond" w:cs="Times New Roman"/>
                <w:sz w:val="24"/>
                <w:szCs w:val="24"/>
              </w:rPr>
              <w:t xml:space="preserve"> the support system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s</w:t>
            </w:r>
            <w:r w:rsidRPr="00385271" w:rsidR="00475202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available </w:t>
            </w:r>
            <w:r w:rsidRPr="00385271" w:rsidR="00475202">
              <w:rPr>
                <w:rFonts w:ascii="Garamond" w:hAnsi="Garamond" w:cs="Times New Roman"/>
                <w:sz w:val="24"/>
                <w:szCs w:val="24"/>
              </w:rPr>
              <w:t>for the family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 in care of ND</w:t>
            </w:r>
            <w:r w:rsidRPr="00385271" w:rsidR="00C64AEE">
              <w:rPr>
                <w:rFonts w:ascii="Garamond" w:hAnsi="Garamond" w:cs="Times New Roman"/>
                <w:sz w:val="24"/>
                <w:szCs w:val="24"/>
              </w:rPr>
              <w:t>D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s</w:t>
            </w:r>
          </w:p>
          <w:p w:rsidRPr="00385271" w:rsidR="00475202" w:rsidP="000A595B" w:rsidRDefault="00587FC2" w14:paraId="26D0D874" w14:textId="1AE3008D">
            <w:pPr>
              <w:pStyle w:val="Odstavekseznama"/>
              <w:numPr>
                <w:ilvl w:val="0"/>
                <w:numId w:val="1"/>
              </w:num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explain</w:t>
            </w:r>
            <w:r w:rsidRPr="00385271" w:rsidR="00475202">
              <w:rPr>
                <w:rFonts w:ascii="Garamond" w:hAnsi="Garamond" w:cs="Times New Roman"/>
                <w:sz w:val="24"/>
                <w:szCs w:val="24"/>
              </w:rPr>
              <w:t xml:space="preserve"> the concept of the stimulating environment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 in ND</w:t>
            </w:r>
            <w:r w:rsidRPr="00385271" w:rsidR="00C64AEE">
              <w:rPr>
                <w:rFonts w:ascii="Garamond" w:hAnsi="Garamond" w:cs="Times New Roman"/>
                <w:sz w:val="24"/>
                <w:szCs w:val="24"/>
              </w:rPr>
              <w:t>D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s</w:t>
            </w:r>
          </w:p>
          <w:p w:rsidRPr="00385271" w:rsidR="00475202" w:rsidP="000A595B" w:rsidRDefault="00984C17" w14:paraId="427000B8" w14:textId="0FF73CC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describe </w:t>
            </w:r>
            <w:r w:rsidRPr="00385271" w:rsidR="00475202">
              <w:rPr>
                <w:rFonts w:ascii="Garamond" w:hAnsi="Garamond" w:cs="Times New Roman"/>
                <w:sz w:val="24"/>
                <w:szCs w:val="24"/>
              </w:rPr>
              <w:t xml:space="preserve">palliative care in 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ND</w:t>
            </w:r>
            <w:r w:rsidRPr="00385271" w:rsidR="00C64AEE">
              <w:rPr>
                <w:rFonts w:ascii="Garamond" w:hAnsi="Garamond" w:cs="Times New Roman"/>
                <w:sz w:val="24"/>
                <w:szCs w:val="24"/>
              </w:rPr>
              <w:t>D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s</w:t>
            </w:r>
          </w:p>
          <w:p w:rsidRPr="00385271" w:rsidR="00475202" w:rsidP="004655D4" w:rsidRDefault="00475202" w14:paraId="5DD86D21" w14:textId="77777777">
            <w:pPr>
              <w:spacing w:after="0" w:line="240" w:lineRule="auto"/>
              <w:ind w:left="72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Pr="00385271" w:rsidR="00475202" w:rsidTr="004655D4" w14:paraId="1C8A8021" w14:textId="77777777">
        <w:trPr>
          <w:trHeight w:val="377"/>
        </w:trPr>
        <w:tc>
          <w:tcPr>
            <w:tcW w:w="9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5271" w:rsidR="00475202" w:rsidP="004655D4" w:rsidRDefault="00B869C9" w14:paraId="6436909E" w14:textId="0154DE95">
            <w:pPr>
              <w:rPr>
                <w:rFonts w:ascii="Garamond" w:hAnsi="Garamond" w:cs="Times New Roman"/>
                <w:b/>
                <w:i/>
                <w:sz w:val="28"/>
                <w:szCs w:val="28"/>
              </w:rPr>
            </w:pPr>
            <w:r w:rsidRPr="00385271">
              <w:rPr>
                <w:rFonts w:ascii="Garamond" w:hAnsi="Garamond" w:cs="Times New Roman"/>
                <w:b/>
                <w:i/>
                <w:sz w:val="28"/>
                <w:szCs w:val="28"/>
              </w:rPr>
              <w:t>Course Content:</w:t>
            </w:r>
          </w:p>
          <w:p w:rsidRPr="00385271" w:rsidR="00475202" w:rsidP="000A595B" w:rsidRDefault="00475202" w14:paraId="1C56F43D" w14:textId="40A0734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eastAsia="Times New Roman" w:cs="Times New Roman"/>
                <w:color w:val="000000"/>
                <w:sz w:val="24"/>
                <w:szCs w:val="24"/>
                <w:lang w:eastAsia="en-MY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Introduction to</w:t>
            </w:r>
            <w:r w:rsidRPr="00385271">
              <w:rPr>
                <w:rFonts w:ascii="Garamond" w:hAnsi="Garamond" w:eastAsia="Times New Roman" w:cs="Times New Roman"/>
                <w:color w:val="000000"/>
                <w:sz w:val="24"/>
                <w:szCs w:val="24"/>
                <w:lang w:eastAsia="en-MY"/>
              </w:rPr>
              <w:t xml:space="preserve"> ageing societies general</w:t>
            </w:r>
          </w:p>
          <w:p w:rsidRPr="00385271" w:rsidR="00475202" w:rsidP="000A595B" w:rsidRDefault="00475202" w14:paraId="4EE47EC8" w14:textId="7777777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eastAsia="Times New Roman" w:cs="Times New Roman"/>
                <w:color w:val="000000"/>
                <w:sz w:val="24"/>
                <w:szCs w:val="24"/>
                <w:lang w:eastAsia="en-MY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Diagnosis/Coping with the disease</w:t>
            </w:r>
          </w:p>
          <w:p w:rsidRPr="00385271" w:rsidR="00475202" w:rsidP="000A595B" w:rsidRDefault="00C64AEE" w14:paraId="2EE0A875" w14:textId="79B781B0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Living with NDD</w:t>
            </w:r>
          </w:p>
          <w:p w:rsidRPr="00385271" w:rsidR="00475202" w:rsidP="000A595B" w:rsidRDefault="00475202" w14:paraId="7719264C" w14:textId="666645D5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Support systems for the family</w:t>
            </w:r>
          </w:p>
          <w:p w:rsidRPr="00385271" w:rsidR="00B9428D" w:rsidP="000A595B" w:rsidRDefault="00B869C9" w14:paraId="7C91F071" w14:textId="0B2023C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Families and the ageing society</w:t>
            </w:r>
          </w:p>
          <w:p w:rsidRPr="00385271" w:rsidR="00475202" w:rsidP="000A595B" w:rsidRDefault="00475202" w14:paraId="1ADF296C" w14:textId="77777777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Stimulating environment</w:t>
            </w:r>
          </w:p>
          <w:p w:rsidRPr="00385271" w:rsidR="00475202" w:rsidP="000A595B" w:rsidRDefault="00C64AEE" w14:paraId="06C707FF" w14:textId="4E854610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Palliative care in NDDs</w:t>
            </w:r>
          </w:p>
        </w:tc>
      </w:tr>
    </w:tbl>
    <w:p w:rsidRPr="00385271" w:rsidR="00B869C9" w:rsidRDefault="00B869C9" w14:paraId="7D2E1EF9" w14:textId="77777777">
      <w:pPr>
        <w:rPr>
          <w:rFonts w:ascii="Garamond" w:hAnsi="Garamond"/>
        </w:rPr>
      </w:pPr>
      <w:r w:rsidRPr="00385271">
        <w:rPr>
          <w:rFonts w:ascii="Garamond" w:hAnsi="Garamond"/>
        </w:rPr>
        <w:br w:type="page"/>
      </w:r>
    </w:p>
    <w:tbl>
      <w:tblPr>
        <w:tblW w:w="9662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2616"/>
        <w:gridCol w:w="1235"/>
        <w:gridCol w:w="3596"/>
      </w:tblGrid>
      <w:tr w:rsidRPr="00385271" w:rsidR="00475202" w:rsidTr="3A21B84D" w14:paraId="38F0077C" w14:textId="77777777">
        <w:trPr>
          <w:trHeight w:val="377"/>
        </w:trPr>
        <w:tc>
          <w:tcPr>
            <w:tcW w:w="966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385271" w:rsidR="00475202" w:rsidP="004655D4" w:rsidRDefault="00475202" w14:paraId="08623833" w14:textId="2FEB9E8C">
            <w:pPr>
              <w:rPr>
                <w:rFonts w:ascii="Garamond" w:hAnsi="Garamond" w:cs="Times New Roman"/>
                <w:b/>
                <w:i/>
                <w:sz w:val="28"/>
                <w:szCs w:val="28"/>
              </w:rPr>
            </w:pPr>
            <w:r w:rsidRPr="00385271">
              <w:rPr>
                <w:rFonts w:ascii="Garamond" w:hAnsi="Garamond" w:cs="Times New Roman"/>
                <w:b/>
                <w:i/>
                <w:sz w:val="28"/>
                <w:szCs w:val="28"/>
              </w:rPr>
              <w:t xml:space="preserve">Teaching /Learning Methods: </w:t>
            </w:r>
          </w:p>
          <w:p w:rsidRPr="00385271" w:rsidR="00475202" w:rsidP="00B869C9" w:rsidRDefault="00475202" w14:paraId="157B5EC9" w14:textId="75E8E9EC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Better to use the blended approaches (since it is asked in the application as a %). Give the approaches in %.</w:t>
            </w:r>
          </w:p>
        </w:tc>
      </w:tr>
      <w:tr w:rsidRPr="00385271" w:rsidR="00B869C9" w:rsidTr="3A21B84D" w14:paraId="417C6C53" w14:textId="77777777">
        <w:trPr>
          <w:trHeight w:val="377"/>
        </w:trPr>
        <w:tc>
          <w:tcPr>
            <w:tcW w:w="2215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385271" w:rsidR="00B869C9" w:rsidP="00B869C9" w:rsidRDefault="00B869C9" w14:paraId="1C0A7F47" w14:textId="4D628F3D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85271" w:rsidR="00B869C9" w:rsidP="00B869C9" w:rsidRDefault="00B869C9" w14:paraId="2DBB2AEE" w14:textId="1E3B0C1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sz w:val="24"/>
                <w:szCs w:val="24"/>
              </w:rPr>
              <w:t>Lectures</w:t>
            </w:r>
          </w:p>
        </w:tc>
        <w:tc>
          <w:tcPr>
            <w:tcW w:w="483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385271" w:rsidR="00B869C9" w:rsidP="00B869C9" w:rsidRDefault="00B869C9" w14:paraId="4DF16A00" w14:textId="4ECF5815">
            <w:pPr>
              <w:rPr>
                <w:rFonts w:ascii="Garamond" w:hAnsi="Garamond" w:cs="Times New Roman"/>
                <w:sz w:val="32"/>
                <w:szCs w:val="32"/>
              </w:rPr>
            </w:pPr>
            <w:r w:rsidRPr="00385271">
              <w:rPr>
                <w:rFonts w:ascii="Garamond" w:hAnsi="Garamond" w:cs="Times New Roman"/>
                <w:sz w:val="32"/>
                <w:szCs w:val="32"/>
              </w:rPr>
              <w:t>28%</w:t>
            </w:r>
          </w:p>
        </w:tc>
      </w:tr>
      <w:tr w:rsidRPr="00385271" w:rsidR="00B869C9" w:rsidTr="3A21B84D" w14:paraId="6C1ED238" w14:textId="77777777">
        <w:trPr>
          <w:trHeight w:val="377"/>
        </w:trPr>
        <w:tc>
          <w:tcPr>
            <w:tcW w:w="2215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385271" w:rsidR="00B869C9" w:rsidP="00B869C9" w:rsidRDefault="00B869C9" w14:paraId="6ACFC189" w14:textId="591E05AE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85271" w:rsidR="00B869C9" w:rsidP="00B869C9" w:rsidRDefault="00B869C9" w14:paraId="2C5CF45D" w14:textId="5A4B388D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sz w:val="24"/>
                <w:szCs w:val="24"/>
              </w:rPr>
              <w:t>Practical work</w:t>
            </w:r>
          </w:p>
        </w:tc>
        <w:tc>
          <w:tcPr>
            <w:tcW w:w="483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385271" w:rsidR="00B869C9" w:rsidP="00B869C9" w:rsidRDefault="00B869C9" w14:paraId="0BF25E78" w14:textId="0372FE71">
            <w:pPr>
              <w:rPr>
                <w:rFonts w:ascii="Garamond" w:hAnsi="Garamond" w:cs="Times New Roman"/>
                <w:sz w:val="32"/>
                <w:szCs w:val="32"/>
              </w:rPr>
            </w:pPr>
            <w:r w:rsidRPr="00385271">
              <w:rPr>
                <w:rFonts w:ascii="Garamond" w:hAnsi="Garamond" w:cs="Times New Roman"/>
                <w:sz w:val="32"/>
                <w:szCs w:val="32"/>
              </w:rPr>
              <w:t>04%</w:t>
            </w:r>
          </w:p>
        </w:tc>
      </w:tr>
      <w:tr w:rsidRPr="00385271" w:rsidR="00B869C9" w:rsidTr="3A21B84D" w14:paraId="6124EB68" w14:textId="77777777">
        <w:trPr>
          <w:trHeight w:val="377"/>
        </w:trPr>
        <w:tc>
          <w:tcPr>
            <w:tcW w:w="2215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385271" w:rsidR="00B869C9" w:rsidP="00B869C9" w:rsidRDefault="00B869C9" w14:paraId="7174C9C8" w14:textId="6FCCBAFA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85271" w:rsidR="00B869C9" w:rsidP="00B869C9" w:rsidRDefault="00B869C9" w14:paraId="25379AD8" w14:textId="12C55889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sz w:val="24"/>
                <w:szCs w:val="24"/>
              </w:rPr>
              <w:t>Independent learning</w:t>
            </w:r>
          </w:p>
        </w:tc>
        <w:tc>
          <w:tcPr>
            <w:tcW w:w="483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385271" w:rsidR="00B869C9" w:rsidP="00B869C9" w:rsidRDefault="00B869C9" w14:paraId="0D3263A2" w14:textId="6D97DC3C">
            <w:pPr>
              <w:rPr>
                <w:rFonts w:ascii="Garamond" w:hAnsi="Garamond" w:cs="Times New Roman"/>
                <w:sz w:val="32"/>
                <w:szCs w:val="32"/>
              </w:rPr>
            </w:pPr>
            <w:r w:rsidRPr="00385271">
              <w:rPr>
                <w:rFonts w:ascii="Garamond" w:hAnsi="Garamond" w:cs="Times New Roman"/>
                <w:sz w:val="32"/>
                <w:szCs w:val="32"/>
              </w:rPr>
              <w:t>68%</w:t>
            </w:r>
          </w:p>
        </w:tc>
      </w:tr>
      <w:tr w:rsidRPr="00385271" w:rsidR="00B869C9" w:rsidTr="3A21B84D" w14:paraId="11606B5D" w14:textId="77777777">
        <w:trPr>
          <w:trHeight w:val="377"/>
        </w:trPr>
        <w:tc>
          <w:tcPr>
            <w:tcW w:w="966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5271" w:rsidR="00B869C9" w:rsidP="00B869C9" w:rsidRDefault="004F5968" w14:paraId="6B5BE371" w14:textId="0593245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i/>
                <w:sz w:val="28"/>
                <w:szCs w:val="28"/>
              </w:rPr>
              <w:t>Assessment Strategy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: </w:t>
            </w:r>
            <w:bookmarkStart w:name="To_be_added_later_3" w:id="3"/>
            <w:r w:rsidRPr="00385271">
              <w:rPr>
                <w:rFonts w:ascii="Garamond" w:hAnsi="Garamond" w:cs="Times New Roman"/>
                <w:sz w:val="24"/>
                <w:szCs w:val="24"/>
              </w:rPr>
              <w:t>&gt;&gt;provisional as is, to be finalized after course content is finalized&lt;&lt;</w:t>
            </w:r>
            <w:bookmarkEnd w:id="3"/>
          </w:p>
          <w:p w:rsidRPr="00385271" w:rsidR="00B869C9" w:rsidP="00B869C9" w:rsidRDefault="00B869C9" w14:paraId="3F3161D5" w14:textId="4315D033">
            <w:pPr>
              <w:rPr>
                <w:rFonts w:ascii="Garamond" w:hAnsi="Garamond"/>
                <w:sz w:val="20"/>
                <w:szCs w:val="20"/>
                <w:lang w:val="sl-SI"/>
              </w:rPr>
            </w:pPr>
            <w:r w:rsidRPr="00385271">
              <w:rPr>
                <w:rFonts w:ascii="Garamond" w:hAnsi="Garamond" w:cs="Times New Roman"/>
                <w:sz w:val="20"/>
                <w:szCs w:val="20"/>
              </w:rPr>
              <w:t>(</w:t>
            </w:r>
            <w:r w:rsidRPr="00385271" w:rsidR="00C434D6">
              <w:rPr>
                <w:rFonts w:ascii="Garamond" w:hAnsi="Garamond" w:eastAsia="SimSun" w:cs="Times New Roman"/>
                <w:color w:val="000000"/>
                <w:sz w:val="19"/>
                <w:szCs w:val="19"/>
                <w:lang w:eastAsia="zh-CN" w:bidi="ar"/>
              </w:rPr>
              <w:t xml:space="preserve">Details: quizzes 0%, mid-term 0%, end course unit 0%, end term/year 80%, other 20% (2x 5% homework assignment, 1x 10% practical work </w:t>
            </w:r>
            <w:proofErr w:type="spellStart"/>
            <w:r w:rsidRPr="00385271" w:rsidR="00C434D6">
              <w:rPr>
                <w:rFonts w:ascii="Garamond" w:hAnsi="Garamond" w:eastAsia="SimSun" w:cs="Times New Roman"/>
                <w:color w:val="000000"/>
                <w:sz w:val="19"/>
                <w:szCs w:val="19"/>
                <w:lang w:eastAsia="zh-CN" w:bidi="ar"/>
              </w:rPr>
              <w:t>assesment</w:t>
            </w:r>
            <w:proofErr w:type="spellEnd"/>
            <w:r w:rsidRPr="00385271" w:rsidR="00C434D6">
              <w:rPr>
                <w:rFonts w:ascii="Garamond" w:hAnsi="Garamond" w:eastAsia="SimSun" w:cs="Times New Roman"/>
                <w:color w:val="000000"/>
                <w:sz w:val="19"/>
                <w:szCs w:val="19"/>
                <w:lang w:eastAsia="zh-CN" w:bidi="ar"/>
              </w:rPr>
              <w:t>); Theory (90%), Practical (10%), Thesis (0%), Viva (0%</w:t>
            </w:r>
            <w:proofErr w:type="gramStart"/>
            <w:r w:rsidRPr="00385271" w:rsidR="00C434D6">
              <w:rPr>
                <w:rFonts w:ascii="Garamond" w:hAnsi="Garamond" w:eastAsia="SimSun" w:cs="Times New Roman"/>
                <w:color w:val="000000"/>
                <w:sz w:val="19"/>
                <w:szCs w:val="19"/>
                <w:lang w:eastAsia="zh-CN" w:bidi="ar"/>
              </w:rPr>
              <w:t>) ,</w:t>
            </w:r>
            <w:proofErr w:type="gramEnd"/>
            <w:r w:rsidRPr="00385271" w:rsidR="00C434D6">
              <w:rPr>
                <w:rFonts w:ascii="Garamond" w:hAnsi="Garamond" w:eastAsia="SimSun" w:cs="Times New Roman"/>
                <w:color w:val="000000"/>
                <w:sz w:val="19"/>
                <w:szCs w:val="19"/>
                <w:lang w:eastAsia="zh-CN" w:bidi="ar"/>
              </w:rPr>
              <w:t xml:space="preserve"> Other (0%) (Homework and practical </w:t>
            </w:r>
            <w:proofErr w:type="spellStart"/>
            <w:r w:rsidRPr="00385271" w:rsidR="00C434D6">
              <w:rPr>
                <w:rFonts w:ascii="Garamond" w:hAnsi="Garamond" w:eastAsia="SimSun" w:cs="Times New Roman"/>
                <w:color w:val="000000"/>
                <w:sz w:val="19"/>
                <w:szCs w:val="19"/>
                <w:lang w:eastAsia="zh-CN" w:bidi="ar"/>
              </w:rPr>
              <w:t>assesment</w:t>
            </w:r>
            <w:proofErr w:type="spellEnd"/>
            <w:r w:rsidRPr="00385271" w:rsidR="00C434D6">
              <w:rPr>
                <w:rFonts w:ascii="Garamond" w:hAnsi="Garamond" w:eastAsia="SimSun" w:cs="Times New Roman"/>
                <w:color w:val="000000"/>
                <w:sz w:val="19"/>
                <w:szCs w:val="19"/>
                <w:lang w:eastAsia="zh-CN" w:bidi="ar"/>
              </w:rPr>
              <w:t xml:space="preserve"> graded as a project; End-of-course exam 5-10 MCQs per lecture, ???? Nr. Of SEQ)</w:t>
            </w:r>
            <w:r w:rsidRPr="00385271" w:rsidR="00C434D6">
              <w:rPr>
                <w:rFonts w:ascii="Garamond" w:hAnsi="Garamond"/>
                <w:sz w:val="20"/>
                <w:szCs w:val="20"/>
                <w:lang w:val="en-GB"/>
              </w:rPr>
              <w:t> </w:t>
            </w:r>
          </w:p>
          <w:p w:rsidRPr="00385271" w:rsidR="00B869C9" w:rsidP="00B869C9" w:rsidRDefault="00B869C9" w14:paraId="648304EA" w14:textId="77777777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eastAsia="SimSun" w:cs="Times New Roman"/>
                <w:color w:val="000000"/>
                <w:sz w:val="19"/>
                <w:szCs w:val="19"/>
                <w:lang w:eastAsia="zh-CN" w:bidi="ar"/>
              </w:rPr>
              <w:t>Marks allocated for the evaluation of continuous assessment shall be within 20-40% and end semester examinations shall be within 60%-80%.</w:t>
            </w:r>
          </w:p>
        </w:tc>
      </w:tr>
      <w:tr w:rsidRPr="00385271" w:rsidR="00B869C9" w:rsidTr="3A21B84D" w14:paraId="08B78B7C" w14:textId="77777777">
        <w:trPr>
          <w:trHeight w:val="377"/>
        </w:trPr>
        <w:tc>
          <w:tcPr>
            <w:tcW w:w="2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85271" w:rsidR="00B869C9" w:rsidP="00B869C9" w:rsidRDefault="00B869C9" w14:paraId="3B0386E8" w14:textId="77777777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Formative Assessment </w:t>
            </w:r>
          </w:p>
          <w:p w:rsidRPr="00385271" w:rsidR="00B869C9" w:rsidP="00B869C9" w:rsidRDefault="00B869C9" w14:paraId="115B4DFF" w14:textId="77777777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1"/>
                <w:szCs w:val="21"/>
              </w:rPr>
              <w:t>(if necessary only)</w:t>
            </w:r>
          </w:p>
        </w:tc>
        <w:tc>
          <w:tcPr>
            <w:tcW w:w="7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5271" w:rsidR="00B869C9" w:rsidP="00B869C9" w:rsidRDefault="00B869C9" w14:paraId="76CBEFB3" w14:textId="509A9C37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Summative Assessment </w:t>
            </w:r>
          </w:p>
        </w:tc>
      </w:tr>
      <w:tr w:rsidRPr="00385271" w:rsidR="00B869C9" w:rsidTr="3A21B84D" w14:paraId="0A55C2AF" w14:textId="77777777">
        <w:trPr>
          <w:trHeight w:val="377"/>
        </w:trPr>
        <w:tc>
          <w:tcPr>
            <w:tcW w:w="2215" w:type="dxa"/>
            <w:vMerge/>
            <w:tcMar/>
          </w:tcPr>
          <w:p w:rsidRPr="00385271" w:rsidR="00B869C9" w:rsidP="00B869C9" w:rsidRDefault="00B869C9" w14:paraId="046EC56E" w14:textId="77777777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5271" w:rsidR="00B869C9" w:rsidP="00B869C9" w:rsidRDefault="00B869C9" w14:paraId="2898B4F9" w14:textId="77777777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Continuous assessments</w:t>
            </w:r>
          </w:p>
          <w:p w:rsidRPr="00385271" w:rsidR="00B869C9" w:rsidP="00B869C9" w:rsidRDefault="00B869C9" w14:paraId="05638E26" w14:textId="0446F15D">
            <w:pPr>
              <w:jc w:val="center"/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385271">
              <w:rPr>
                <w:rFonts w:ascii="Garamond" w:hAnsi="Garamond" w:cs="Times New Roman"/>
                <w:b/>
                <w:sz w:val="32"/>
                <w:szCs w:val="32"/>
              </w:rPr>
              <w:t>20</w:t>
            </w:r>
            <w:r w:rsidRPr="00385271" w:rsidR="004F5968">
              <w:rPr>
                <w:rFonts w:ascii="Garamond" w:hAnsi="Garamond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5271" w:rsidR="00B869C9" w:rsidP="00B869C9" w:rsidRDefault="00B869C9" w14:paraId="57510B8A" w14:textId="77777777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End course assessment </w:t>
            </w:r>
          </w:p>
          <w:p w:rsidRPr="00385271" w:rsidR="00B869C9" w:rsidP="00B869C9" w:rsidRDefault="00B869C9" w14:paraId="5B348EC3" w14:textId="30A635A9">
            <w:pPr>
              <w:jc w:val="center"/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385271">
              <w:rPr>
                <w:rFonts w:ascii="Garamond" w:hAnsi="Garamond" w:cs="Times New Roman"/>
                <w:b/>
                <w:sz w:val="32"/>
                <w:szCs w:val="32"/>
              </w:rPr>
              <w:t>80</w:t>
            </w:r>
            <w:r w:rsidRPr="00385271" w:rsidR="004F5968">
              <w:rPr>
                <w:rFonts w:ascii="Garamond" w:hAnsi="Garamond" w:cs="Times New Roman"/>
                <w:b/>
                <w:sz w:val="32"/>
                <w:szCs w:val="32"/>
              </w:rPr>
              <w:t>%</w:t>
            </w:r>
          </w:p>
        </w:tc>
      </w:tr>
      <w:tr w:rsidRPr="00385271" w:rsidR="00B869C9" w:rsidTr="3A21B84D" w14:paraId="15441A00" w14:textId="77777777">
        <w:trPr>
          <w:trHeight w:val="377"/>
        </w:trPr>
        <w:tc>
          <w:tcPr>
            <w:tcW w:w="9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5271" w:rsidR="00F834F8" w:rsidP="00770477" w:rsidRDefault="00F834F8" w14:paraId="42368790" w14:textId="455CD557">
            <w:pPr>
              <w:jc w:val="both"/>
              <w:rPr>
                <w:rFonts w:ascii="Garamond" w:hAnsi="Garamond" w:cs="Times New Roman"/>
                <w:b/>
                <w:i/>
                <w:sz w:val="36"/>
                <w:szCs w:val="36"/>
              </w:rPr>
            </w:pPr>
            <w:r w:rsidRPr="00385271">
              <w:rPr>
                <w:rFonts w:ascii="Garamond" w:hAnsi="Garamond" w:cs="Times New Roman"/>
                <w:b/>
                <w:i/>
                <w:sz w:val="36"/>
                <w:szCs w:val="36"/>
              </w:rPr>
              <w:t>Mandatory</w:t>
            </w:r>
            <w:r w:rsidR="00385271">
              <w:rPr>
                <w:rFonts w:ascii="Garamond" w:hAnsi="Garamond" w:cs="Times New Roman"/>
                <w:b/>
                <w:i/>
                <w:sz w:val="36"/>
                <w:szCs w:val="36"/>
              </w:rPr>
              <w:t xml:space="preserve"> Reading</w:t>
            </w:r>
            <w:r w:rsidRPr="00385271">
              <w:rPr>
                <w:rFonts w:ascii="Garamond" w:hAnsi="Garamond" w:cs="Times New Roman"/>
                <w:b/>
                <w:i/>
                <w:sz w:val="36"/>
                <w:szCs w:val="36"/>
              </w:rPr>
              <w:t>:</w:t>
            </w:r>
          </w:p>
          <w:p w:rsidRPr="00BB324A" w:rsidR="00247F19" w:rsidP="00BB324A" w:rsidRDefault="007042ED" w14:paraId="0477242D" w14:textId="77777777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1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:rsidRPr="00385271" w:rsidR="00247F19" w:rsidP="000A595B" w:rsidRDefault="007042ED" w14:paraId="69B3946F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DF4B8C">
              <w:rPr>
                <w:rFonts w:ascii="Garamond" w:hAnsi="Garamond" w:cs="Times New Roman"/>
                <w:sz w:val="24"/>
                <w:szCs w:val="24"/>
                <w:lang w:val="de-DE"/>
              </w:rPr>
              <w:t>Sanderson, W. C., &amp; Scherbov, S. (2010). 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Remeasuring aging.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Science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329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(5997), 1287-1288.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 Available from: </w:t>
            </w:r>
            <w:hyperlink w:history="1" r:id="rId1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https://demographic-challenge.com/files/downloads/9ed31aa1067a5d6a50c644c46812c0fa/dc_remeasuring_aging_sanderson_scherbov_science_2010.pdf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:rsidRPr="00385271" w:rsidR="00247F19" w:rsidP="000A595B" w:rsidRDefault="007042ED" w14:paraId="2952481B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An Aging World: 2020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1 September 2022, from </w:t>
            </w:r>
            <w:hyperlink w:history="1" r:id="rId12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https://mtgis-portal.geo.census.gov/arcgis/apps/MapSeries/index.html?appid=3d832796999042daae7982ff36835e2e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:rsidRPr="00385271" w:rsidR="00247F19" w:rsidP="000A595B" w:rsidRDefault="007042ED" w14:paraId="54A50F38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Age Structure - Our World in Data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1 September 2022, from </w:t>
            </w:r>
            <w:hyperlink w:history="1" r:id="rId13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https://ourworldindata.org/age-structure#the-global-population-pyramid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:rsidRPr="00385271" w:rsidR="00247F19" w:rsidP="000A595B" w:rsidRDefault="007042ED" w14:paraId="5B45C842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Harper, S. (2019). Living Longer within Ageing Societies.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Journal of Population Ageing 2019 12:2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12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(2), 133–136. </w:t>
            </w:r>
            <w:hyperlink w:history="1" r:id="rId14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https://doi.org/10.1007/S12062-019-09248-4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:rsidRPr="00385271" w:rsidR="001D2EA4" w:rsidP="001D2EA4" w:rsidRDefault="001D2EA4" w14:paraId="39E350EF" w14:textId="77777777">
            <w:p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:rsidRPr="00BB324A" w:rsidR="00247F19" w:rsidP="00BB324A" w:rsidRDefault="007042ED" w14:paraId="1F2081EB" w14:textId="77777777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2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:rsidRPr="00385271" w:rsidR="00247F19" w:rsidP="000A595B" w:rsidRDefault="007042ED" w14:paraId="3D24C41A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Adamson, K., Bains, J., Pantea, L., </w:t>
            </w:r>
            <w:proofErr w:type="spellStart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Tyrhwitt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, J., </w:t>
            </w:r>
            <w:proofErr w:type="spellStart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Tolomiczenko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 G., &amp; Mitchell, T. (2012). Understanding the patients’ perspective of emotional support to significantly improve overall patient satisfaction. </w:t>
            </w: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Healthc</w:t>
            </w:r>
            <w:proofErr w:type="spellEnd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Q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15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(4), 63-9.</w:t>
            </w:r>
          </w:p>
          <w:p w:rsidRPr="00385271" w:rsidR="00247F19" w:rsidP="000A595B" w:rsidRDefault="007042ED" w14:paraId="4683E7F8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DF4B8C">
              <w:rPr>
                <w:rFonts w:ascii="Garamond" w:hAnsi="Garamond" w:cs="Times New Roman"/>
                <w:sz w:val="24"/>
                <w:szCs w:val="24"/>
                <w:lang w:val="de-DE"/>
              </w:rPr>
              <w:t xml:space="preserve">Gille, S., Griese, L., &amp; Schaeffer, D. (2021). 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Preferences and Experiences of People with Chronic Illness in Using Different Sources of Health Information: Results of a Mixed-Methods Study.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International Journal of Environmental Research and Public Health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18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(24), 13185.</w:t>
            </w:r>
          </w:p>
          <w:p w:rsidRPr="00385271" w:rsidR="00247F19" w:rsidP="000A595B" w:rsidRDefault="007042ED" w14:paraId="4D66FCB8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proofErr w:type="spellStart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Krupat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 E., Rosenkranz, S. L., Yeager, C. M., Barnard, K., Putnam, S. M., &amp; Inui, T. S. (2000). The practice orientations of physicians and patients: the effect of doctor–patient congruence on satisfaction.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Patient education and </w:t>
            </w: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counseling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39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(1), 49-59.</w:t>
            </w:r>
          </w:p>
          <w:p w:rsidRPr="00BB324A" w:rsidR="00247F19" w:rsidP="00BB324A" w:rsidRDefault="007042ED" w14:paraId="02FA00B4" w14:textId="77777777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3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:rsidRPr="00385271" w:rsidR="00247F19" w:rsidP="000A595B" w:rsidRDefault="007042ED" w14:paraId="4BF9B568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Mali, J., &amp; Kejžar, A. (2019). A model of integrated care of residents with dementia – a case of innovation in long-term care with accommodation in Slovenia. </w:t>
            </w: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Ljetopis</w:t>
            </w:r>
            <w:proofErr w:type="spellEnd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Socijalnog</w:t>
            </w:r>
            <w:proofErr w:type="spellEnd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Rada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, 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26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(3), 447–469. </w:t>
            </w:r>
            <w:hyperlink w:history="1" r:id="rId15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</w:t>
              </w:r>
            </w:hyperlink>
            <w:hyperlink w:history="1" r:id="rId16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doi.org/10.3935/LJSR.V26I3.282</w:t>
              </w:r>
            </w:hyperlink>
          </w:p>
          <w:p w:rsidRPr="00385271" w:rsidR="00247F19" w:rsidP="000A595B" w:rsidRDefault="007042ED" w14:paraId="45B14394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Hay, H. (2009). Lifestyle and Future Wishes. In H. May, P. Edwards, &amp; D. Brooker (Eds.), 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Enriched Care Planning for People with Dementia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 (pp. 38–55). Jessica Kingsley Publishers.</w:t>
            </w:r>
          </w:p>
          <w:p w:rsidRPr="00385271" w:rsidR="00B869C9" w:rsidP="000A595B" w:rsidRDefault="007042ED" w14:paraId="146D6862" w14:textId="26E6118C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Salvatore R</w:t>
            </w:r>
            <w:r w:rsidRPr="00385271" w:rsidR="0090474C">
              <w:rPr>
                <w:rFonts w:ascii="Garamond" w:hAnsi="Garamond" w:cs="Times New Roman"/>
                <w:sz w:val="24"/>
                <w:szCs w:val="24"/>
              </w:rPr>
              <w:t>.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, Cianciulli A</w:t>
            </w:r>
            <w:r w:rsidRPr="00385271" w:rsidR="0090474C">
              <w:rPr>
                <w:rFonts w:ascii="Garamond" w:hAnsi="Garamond" w:cs="Times New Roman"/>
                <w:sz w:val="24"/>
                <w:szCs w:val="24"/>
              </w:rPr>
              <w:t>.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, Calvello R</w:t>
            </w:r>
            <w:r w:rsidRPr="00385271" w:rsidR="0090474C">
              <w:rPr>
                <w:rFonts w:ascii="Garamond" w:hAnsi="Garamond" w:cs="Times New Roman"/>
                <w:sz w:val="24"/>
                <w:szCs w:val="24"/>
              </w:rPr>
              <w:t>.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 and Panaro MA. Family Caregivers of Patients with Neurodegenerative Diseases: Life Challenge. J Fam Med. 2015;2(4): 1032.</w:t>
            </w:r>
            <w:r w:rsidRPr="00385271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</w:p>
          <w:p w:rsidRPr="00BB324A" w:rsidR="00247F19" w:rsidP="00BB324A" w:rsidRDefault="007042ED" w14:paraId="168CDB92" w14:textId="0C76AB9B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Pr="00BB324A" w:rsidR="0090474C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4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:rsidRPr="00385271" w:rsidR="00247F19" w:rsidP="000A595B" w:rsidRDefault="007042ED" w14:paraId="34D02D1B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Mielniczek, K., Kowalska, A., Jóźwik, K., Lipiec, M., &amp; Dołomisiewicz, D. (2022). Impact of neurological disorders occurring in neurodegenerative diseases on the conversation process and patients' quality of life.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Journal of Education, Health and Sport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12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(7), 957-967.</w:t>
            </w:r>
          </w:p>
          <w:p w:rsidRPr="00385271" w:rsidR="001D2EA4" w:rsidP="001D2EA4" w:rsidRDefault="007042ED" w14:paraId="60A4B963" w14:textId="36E995B8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DF4B8C">
              <w:rPr>
                <w:rFonts w:ascii="Garamond" w:hAnsi="Garamond" w:cs="Times New Roman"/>
                <w:sz w:val="24"/>
                <w:szCs w:val="24"/>
                <w:lang w:val="de-DE"/>
              </w:rPr>
              <w:t xml:space="preserve">Schindler, J. S., &amp; Kelly, J. H. (2002). 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Swallowing disorders in the elderly.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The Laryngoscope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112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(4), 589-602.</w:t>
            </w:r>
          </w:p>
          <w:p w:rsidRPr="00BB324A" w:rsidR="00247F19" w:rsidP="00BB324A" w:rsidRDefault="007042ED" w14:paraId="2E29D585" w14:textId="45A09A66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Pr="00BB324A" w:rsidR="0090474C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5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:rsidRPr="00385271" w:rsidR="00247F19" w:rsidP="000A595B" w:rsidRDefault="007042ED" w14:paraId="15F12723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Helpage</w:t>
            </w:r>
            <w:proofErr w:type="spellEnd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Sri Lanka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September 7, 2022, from https://www.helpagesl.org/</w:t>
            </w:r>
          </w:p>
          <w:p w:rsidRPr="00385271" w:rsidR="00247F19" w:rsidP="000A595B" w:rsidRDefault="007042ED" w14:paraId="5F7718B1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Sahanaya</w:t>
            </w:r>
            <w:proofErr w:type="spellEnd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Resource and Information </w:t>
            </w: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Center</w:t>
            </w:r>
            <w:proofErr w:type="spellEnd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- SRIC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September 7, 2022, from https://sric.lk/page/services-for-elders/16</w:t>
            </w:r>
          </w:p>
          <w:p w:rsidRPr="00385271" w:rsidR="00247F19" w:rsidP="000A595B" w:rsidRDefault="007042ED" w14:paraId="76FB3A3B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The Government Information </w:t>
            </w: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Center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September 7, 2022, from https://gic.gov.lk/gic/index.php/en/component/info/?id=1336&amp;catid=30&amp;task=inf</w:t>
            </w:r>
          </w:p>
          <w:p w:rsidRPr="00385271" w:rsidR="00247F19" w:rsidP="000A595B" w:rsidRDefault="007042ED" w14:paraId="1EF5D3E9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Services for the Elders - The Department Of Social Welfare, Probation and Child Care Service Affairs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. (n.d.). Retrieved September 7, 2022, from </w:t>
            </w:r>
            <w:hyperlink w:history="1" r:id="rId17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http://</w:t>
              </w:r>
            </w:hyperlink>
            <w:hyperlink w:history="1" r:id="rId18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www.socialproba.cp.gov.lk/en/social-welfare-services/services-for-the-elders.html</w:t>
              </w:r>
            </w:hyperlink>
          </w:p>
          <w:p w:rsidRPr="00385271" w:rsidR="00247F19" w:rsidP="000A595B" w:rsidRDefault="007042ED" w14:paraId="57CF4977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Rathnayake, S., &amp; </w:t>
            </w:r>
            <w:proofErr w:type="spellStart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Siop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 S. (2015). Quality of Life and Its Determinants among Older People Living in the Rural Community in Sri Lanka.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Indian Journal of Gerontology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29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(2).</w:t>
            </w:r>
          </w:p>
          <w:p w:rsidRPr="00BB324A" w:rsidR="00247F19" w:rsidP="00BB324A" w:rsidRDefault="007042ED" w14:paraId="66ACC6D1" w14:textId="46664E08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Pr="00BB324A" w:rsidR="0090474C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6</w:t>
            </w: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:</w:t>
            </w:r>
          </w:p>
          <w:p w:rsidRPr="00385271" w:rsidR="0090474C" w:rsidP="00BB324A" w:rsidRDefault="0090474C" w14:paraId="6748B004" w14:textId="7D998596">
            <w:pPr>
              <w:pStyle w:val="Odstavekseznama"/>
              <w:numPr>
                <w:ilvl w:val="0"/>
                <w:numId w:val="28"/>
              </w:numPr>
              <w:ind w:left="1440"/>
              <w:jc w:val="both"/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</w:pPr>
            <w:r w:rsidRPr="00385271"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  <w:t xml:space="preserve">Waller S, Masterson A, Evans SC. The development of environmental assessment tools to support the creation of dementia friendly care environments: Innovative practice. </w:t>
            </w:r>
            <w:r w:rsidRPr="00385271">
              <w:rPr>
                <w:rFonts w:ascii="Garamond" w:hAnsi="Garamond"/>
                <w:i/>
                <w:iCs/>
                <w:color w:val="212121"/>
                <w:sz w:val="24"/>
                <w:szCs w:val="24"/>
                <w:shd w:val="clear" w:color="auto" w:fill="FFFFFF"/>
              </w:rPr>
              <w:t>Dementia.</w:t>
            </w:r>
            <w:r w:rsidRPr="00385271"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  <w:t xml:space="preserve"> 2017;16(2):226-232. doi:10.1177/1471301216635829</w:t>
            </w:r>
          </w:p>
          <w:p w:rsidRPr="00385271" w:rsidR="0090474C" w:rsidP="00BB324A" w:rsidRDefault="0090474C" w14:paraId="0336406E" w14:textId="00D026F8">
            <w:pPr>
              <w:pStyle w:val="Odstavekseznama"/>
              <w:numPr>
                <w:ilvl w:val="0"/>
                <w:numId w:val="28"/>
              </w:numPr>
              <w:ind w:left="1440"/>
              <w:jc w:val="both"/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</w:pPr>
            <w:r w:rsidRPr="00385271"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  <w:t xml:space="preserve">Lin SY. 'Dementia-friendly communities' and being dementia friendly in healthcare settings. </w:t>
            </w:r>
            <w:proofErr w:type="spellStart"/>
            <w:r w:rsidRPr="00385271">
              <w:rPr>
                <w:rFonts w:ascii="Garamond" w:hAnsi="Garamond"/>
                <w:i/>
                <w:iCs/>
                <w:color w:val="212121"/>
                <w:sz w:val="24"/>
                <w:szCs w:val="24"/>
                <w:shd w:val="clear" w:color="auto" w:fill="FFFFFF"/>
              </w:rPr>
              <w:t>Curr</w:t>
            </w:r>
            <w:proofErr w:type="spellEnd"/>
            <w:r w:rsidRPr="00385271">
              <w:rPr>
                <w:rFonts w:ascii="Garamond" w:hAnsi="Garamond"/>
                <w:i/>
                <w:iCs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271">
              <w:rPr>
                <w:rFonts w:ascii="Garamond" w:hAnsi="Garamond"/>
                <w:i/>
                <w:iCs/>
                <w:color w:val="212121"/>
                <w:sz w:val="24"/>
                <w:szCs w:val="24"/>
                <w:shd w:val="clear" w:color="auto" w:fill="FFFFFF"/>
              </w:rPr>
              <w:t>Opin</w:t>
            </w:r>
            <w:proofErr w:type="spellEnd"/>
            <w:r w:rsidRPr="00385271">
              <w:rPr>
                <w:rFonts w:ascii="Garamond" w:hAnsi="Garamond"/>
                <w:i/>
                <w:iCs/>
                <w:color w:val="212121"/>
                <w:sz w:val="24"/>
                <w:szCs w:val="24"/>
                <w:shd w:val="clear" w:color="auto" w:fill="FFFFFF"/>
              </w:rPr>
              <w:t xml:space="preserve"> Psychiatry</w:t>
            </w:r>
            <w:r w:rsidRPr="00385271"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  <w:t xml:space="preserve">. 2017 Mar;30(2):145-150. </w:t>
            </w:r>
            <w:proofErr w:type="spellStart"/>
            <w:r w:rsidRPr="00385271"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  <w:t>doi</w:t>
            </w:r>
            <w:proofErr w:type="spellEnd"/>
            <w:r w:rsidRPr="00385271"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  <w:t>: 10.1097/YCO.0000000000000304. PMID: 27997454; PMCID: PMC5287032.</w:t>
            </w:r>
          </w:p>
          <w:p w:rsidRPr="00385271" w:rsidR="0090474C" w:rsidP="00BB324A" w:rsidRDefault="00385271" w14:paraId="2242BC8A" w14:textId="2E52F6E6">
            <w:pPr>
              <w:pStyle w:val="Odstavekseznama"/>
              <w:numPr>
                <w:ilvl w:val="0"/>
                <w:numId w:val="28"/>
              </w:numPr>
              <w:ind w:left="1440"/>
              <w:jc w:val="both"/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</w:pPr>
            <w:proofErr w:type="spellStart"/>
            <w:r w:rsidRPr="00385271">
              <w:rPr>
                <w:rFonts w:ascii="Garamond" w:hAnsi="Garamond" w:cs="Arial"/>
                <w:color w:val="222222"/>
                <w:sz w:val="24"/>
                <w:szCs w:val="24"/>
                <w:shd w:val="clear" w:color="auto" w:fill="FFFFFF"/>
              </w:rPr>
              <w:t>Vinick</w:t>
            </w:r>
            <w:proofErr w:type="spellEnd"/>
            <w:r w:rsidRPr="00385271">
              <w:rPr>
                <w:rFonts w:ascii="Garamond" w:hAnsi="Garamond" w:cs="Arial"/>
                <w:color w:val="222222"/>
                <w:sz w:val="24"/>
                <w:szCs w:val="24"/>
                <w:shd w:val="clear" w:color="auto" w:fill="FFFFFF"/>
              </w:rPr>
              <w:t xml:space="preserve">, D. (2019). Dementia-friendly design: </w:t>
            </w:r>
            <w:proofErr w:type="spellStart"/>
            <w:r w:rsidRPr="00385271">
              <w:rPr>
                <w:rFonts w:ascii="Garamond" w:hAnsi="Garamond" w:cs="Arial"/>
                <w:color w:val="222222"/>
                <w:sz w:val="24"/>
                <w:szCs w:val="24"/>
                <w:shd w:val="clear" w:color="auto" w:fill="FFFFFF"/>
              </w:rPr>
              <w:t>Hogeweyk</w:t>
            </w:r>
            <w:proofErr w:type="spellEnd"/>
            <w:r w:rsidRPr="00385271">
              <w:rPr>
                <w:rFonts w:ascii="Garamond" w:hAnsi="Garamond" w:cs="Arial"/>
                <w:color w:val="222222"/>
                <w:sz w:val="24"/>
                <w:szCs w:val="24"/>
                <w:shd w:val="clear" w:color="auto" w:fill="FFFFFF"/>
              </w:rPr>
              <w:t xml:space="preserve"> and beyond. </w:t>
            </w:r>
            <w:r w:rsidRPr="00385271">
              <w:rPr>
                <w:rFonts w:ascii="Garamond" w:hAnsi="Garamond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British Journal of General Practice</w:t>
            </w:r>
            <w:r w:rsidRPr="00385271">
              <w:rPr>
                <w:rFonts w:ascii="Garamond" w:hAnsi="Garamond" w:cs="Arial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385271">
              <w:rPr>
                <w:rFonts w:ascii="Garamond" w:hAnsi="Garamond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69</w:t>
            </w:r>
            <w:r w:rsidRPr="00385271">
              <w:rPr>
                <w:rFonts w:ascii="Garamond" w:hAnsi="Garamond" w:cs="Arial"/>
                <w:color w:val="222222"/>
                <w:sz w:val="24"/>
                <w:szCs w:val="24"/>
                <w:shd w:val="clear" w:color="auto" w:fill="FFFFFF"/>
              </w:rPr>
              <w:t>(683), 300-300.</w:t>
            </w:r>
          </w:p>
          <w:p w:rsidRPr="00AF4D95" w:rsidR="00247F19" w:rsidP="00BB324A" w:rsidRDefault="007042ED" w14:paraId="4D4DF83A" w14:textId="77777777">
            <w:pPr>
              <w:pStyle w:val="Odstavekseznama"/>
              <w:numPr>
                <w:ilvl w:val="0"/>
                <w:numId w:val="27"/>
              </w:num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The IAHAIO definitions for animal assisted interventions and guidelines for wellness </w:t>
            </w:r>
            <w:proofErr w:type="gramStart"/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of  animals</w:t>
            </w:r>
            <w:proofErr w:type="gramEnd"/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involved in AAI</w:t>
            </w: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. (2018).</w:t>
            </w:r>
          </w:p>
          <w:p w:rsidRPr="00AF4D95" w:rsidR="00247F19" w:rsidP="00BB324A" w:rsidRDefault="007042ED" w14:paraId="43389486" w14:textId="77777777">
            <w:pPr>
              <w:pStyle w:val="Odstavekseznama"/>
              <w:numPr>
                <w:ilvl w:val="0"/>
                <w:numId w:val="27"/>
              </w:num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Camic, P. M., Crutch, S. J., Murphy, C., Firth, N. C., Harding, E., Harrison, C. R., ... &amp; </w:t>
            </w:r>
            <w:proofErr w:type="spellStart"/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Zeilig</w:t>
            </w:r>
            <w:proofErr w:type="spellEnd"/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, H. (2018). Conceptualising and understanding artistic creativity in the dementias: Interdisciplinary approaches to research and practise. </w:t>
            </w:r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Frontiers in Psychology</w:t>
            </w: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9</w:t>
            </w: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, 1842.</w:t>
            </w:r>
          </w:p>
          <w:p w:rsidRPr="00AF4D95" w:rsidR="00247F19" w:rsidP="00BB324A" w:rsidRDefault="007042ED" w14:paraId="6CA6AF25" w14:textId="77777777">
            <w:pPr>
              <w:pStyle w:val="Odstavekseznama"/>
              <w:numPr>
                <w:ilvl w:val="0"/>
                <w:numId w:val="27"/>
              </w:num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Kristensen, H. K., &amp; Peoples, H. (2020). Experiences related to quality of life in people with dementia living in institutional settings–A meta-aggregation. </w:t>
            </w:r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British Journal of Occupational Therapy</w:t>
            </w: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83</w:t>
            </w: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(3), 145-161.</w:t>
            </w:r>
          </w:p>
          <w:p w:rsidRPr="00BB324A" w:rsidR="00247F19" w:rsidP="00BB324A" w:rsidRDefault="007042ED" w14:paraId="1E5D4B4C" w14:textId="33CB6529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Pr="00BB324A" w:rsidR="00AF4D95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7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:rsidRPr="00AF4D95" w:rsidR="00247F19" w:rsidP="000A595B" w:rsidRDefault="007042ED" w14:paraId="7C1E66F1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Palliative care manual for health care professionals in Sri Lanka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 (2nd ed.). (2021). Palliative Care </w:t>
            </w: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and End of Life Care Taskforce, Sri Lanka Medical Association.</w:t>
            </w:r>
          </w:p>
          <w:p w:rsidRPr="00AF4D95" w:rsidR="00AF4D95" w:rsidP="00AF4D95" w:rsidRDefault="00AF4D95" w14:paraId="060C8A1F" w14:textId="1626211C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="Garamond" w:hAnsi="Garamond" w:cs="Times New Roman"/>
                <w:bCs/>
                <w:iCs/>
                <w:sz w:val="24"/>
                <w:szCs w:val="24"/>
                <w:lang w:val="sl-SI"/>
              </w:rPr>
            </w:pPr>
            <w:r w:rsidRPr="00AF4D95">
              <w:rPr>
                <w:rFonts w:ascii="Garamond" w:hAnsi="Garamond" w:cs="Times New Roman"/>
                <w:bCs/>
                <w:iCs/>
                <w:sz w:val="24"/>
                <w:szCs w:val="24"/>
                <w:lang w:val="sl-SI"/>
              </w:rPr>
              <w:t xml:space="preserve">van der Steen JT, Lennaerts H, Hommel D, Augustijn B, Groot M, Hasselaar J, Bloem BR and Koopmans RTCM (2019) Dementia and Parkinson's Disease: Similar and Divergent Challenges in Providing Palliative Care. </w:t>
            </w:r>
            <w:r w:rsidRPr="00AF4D95">
              <w:rPr>
                <w:rFonts w:ascii="Garamond" w:hAnsi="Garamond" w:cs="Times New Roman"/>
                <w:bCs/>
                <w:i/>
                <w:sz w:val="24"/>
                <w:szCs w:val="24"/>
                <w:lang w:val="sl-SI"/>
              </w:rPr>
              <w:t>Front. Neurol.</w:t>
            </w:r>
            <w:r w:rsidRPr="00AF4D95">
              <w:rPr>
                <w:rFonts w:ascii="Garamond" w:hAnsi="Garamond" w:cs="Times New Roman"/>
                <w:bCs/>
                <w:iCs/>
                <w:sz w:val="24"/>
                <w:szCs w:val="24"/>
                <w:lang w:val="sl-SI"/>
              </w:rPr>
              <w:t xml:space="preserve"> 10:54 am. doi: 10.3389/fneur.2019.00054</w:t>
            </w:r>
          </w:p>
          <w:p w:rsidRPr="00AF4D95" w:rsidR="003E316A" w:rsidP="00AF4D95" w:rsidRDefault="00076584" w14:paraId="74599C09" w14:textId="465D582D">
            <w:p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F4D95">
              <w:rPr>
                <w:rFonts w:ascii="Garamond" w:hAnsi="Garamond" w:cs="Times New Roman"/>
                <w:b/>
                <w:i/>
                <w:sz w:val="36"/>
                <w:szCs w:val="36"/>
                <w:lang w:val="sl-SI"/>
              </w:rPr>
              <w:t>Additional</w:t>
            </w:r>
            <w:r w:rsidRPr="00AF4D95">
              <w:rPr>
                <w:rFonts w:ascii="Garamond" w:hAnsi="Garamond" w:cs="Times New Roman"/>
                <w:b/>
                <w:i/>
                <w:sz w:val="36"/>
                <w:szCs w:val="24"/>
                <w:lang w:val="sl-SI"/>
              </w:rPr>
              <w:t>:</w:t>
            </w:r>
          </w:p>
          <w:p w:rsidRPr="00BB324A" w:rsidR="00247F19" w:rsidP="00BB324A" w:rsidRDefault="007042ED" w14:paraId="011C8472" w14:textId="7555F66D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1:</w:t>
            </w:r>
          </w:p>
          <w:p w:rsidRPr="00385271" w:rsidR="00247F19" w:rsidP="000A595B" w:rsidRDefault="007042ED" w14:paraId="3E11C0C9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World Population Maps - Graphs and maps - Ined - Institut national d’études démographiques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. (n.d.). </w:t>
            </w:r>
            <w:proofErr w:type="spellStart"/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Retrieved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 1 September 2022, from </w:t>
            </w:r>
            <w:hyperlink w:history="1" r:id="rId19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https://www.ined.fr/en/everything_about_population/graphs-maps/world-maps-interactiv/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:rsidRPr="00385271" w:rsidR="00247F19" w:rsidP="000A595B" w:rsidRDefault="007042ED" w14:paraId="4A1DC1C7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Population of WORLD 2022 - PopulationPyramid.net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1 September 2022, from </w:t>
            </w:r>
            <w:hyperlink w:history="1" r:id="rId20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https://www.populationpyramid.net/world/2022/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:rsidRPr="00385271" w:rsidR="00247F19" w:rsidP="000A595B" w:rsidRDefault="007042ED" w14:paraId="729FBDAA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World Population Prospects - Population Division - United Nations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1 September 2022, from </w:t>
            </w:r>
            <w:hyperlink w:history="1" r:id="rId2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https://population.un.org/wpp/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:rsidRPr="00BB324A" w:rsidR="00247F19" w:rsidP="00BB324A" w:rsidRDefault="007042ED" w14:paraId="753C22CF" w14:textId="77777777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2:</w:t>
            </w:r>
          </w:p>
          <w:p w:rsidRPr="00385271" w:rsidR="00247F19" w:rsidP="000A595B" w:rsidRDefault="007042ED" w14:paraId="1F104960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Saranjit, S., &amp; Lennard, L. (2004).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Health literacy: being able to make the most of health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National Consumer Council.</w:t>
            </w:r>
          </w:p>
          <w:p w:rsidRPr="00385271" w:rsidR="00247F19" w:rsidP="000A595B" w:rsidRDefault="007042ED" w14:paraId="4EDBAA30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Cartwright, J., &amp; Magee, H. (2006).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Information for People Living with Conditions that Affect their Appearance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Picker Institute Europe.</w:t>
            </w:r>
          </w:p>
          <w:p w:rsidRPr="00BB324A" w:rsidR="00247F19" w:rsidP="00BB324A" w:rsidRDefault="007042ED" w14:paraId="5C1CC3C2" w14:textId="7A70C768">
            <w:pPr>
              <w:pStyle w:val="Odstavekseznama"/>
              <w:numPr>
                <w:ilvl w:val="0"/>
                <w:numId w:val="51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Pr="00BB324A" w:rsidR="00AF4D95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3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:rsidRPr="00385271" w:rsidR="00AF4D95" w:rsidP="00BB324A" w:rsidRDefault="00AF4D95" w14:paraId="6A8F677E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Kejžar, A., Rihter, L., Sajovic, J., &amp; Drevenšek, G. (2022). Nutrition and congruent care improve wellbeing of residents with dementia in Slovenian care homes. 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Frontiers in Nutrition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, 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0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, 277. </w:t>
            </w:r>
            <w:hyperlink w:history="1" r:id="rId22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</w:t>
              </w:r>
            </w:hyperlink>
            <w:hyperlink w:history="1" r:id="rId23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doi.org/10.3389/FNUT.2022.796031</w:t>
              </w:r>
            </w:hyperlink>
          </w:p>
          <w:p w:rsidR="00AF4D95" w:rsidP="00AF4D95" w:rsidRDefault="00AF4D95" w14:paraId="0FA5E6AE" w14:textId="53B8FD87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4:</w:t>
            </w:r>
          </w:p>
          <w:p w:rsidRPr="00BB324A" w:rsidR="00DF4B8C" w:rsidP="00DF4B8C" w:rsidRDefault="00DF4B8C" w14:paraId="277CE1E0" w14:textId="77777777">
            <w:pPr>
              <w:pStyle w:val="Odstavekseznama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</w:pPr>
          </w:p>
          <w:p w:rsidR="00DF4B8C" w:rsidP="00BB324A" w:rsidRDefault="00DF4B8C" w14:paraId="082D6EFE" w14:textId="501CDA54">
            <w:pPr>
              <w:pStyle w:val="Odstavekseznama"/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32C71">
              <w:rPr>
                <w:rFonts w:ascii="Garamond" w:hAnsi="Garamond" w:cs="Times New Roman"/>
                <w:sz w:val="24"/>
                <w:szCs w:val="24"/>
                <w:lang w:val="sl-SI"/>
              </w:rPr>
              <w:t>Kaakinen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J R,</w:t>
            </w:r>
            <w:r w:rsidRPr="00A32C71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Coehlo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D P</w:t>
            </w:r>
            <w:r w:rsidRPr="00A32C71">
              <w:rPr>
                <w:rFonts w:ascii="Garamond" w:hAnsi="Garamond" w:cs="Times New Roman"/>
                <w:sz w:val="24"/>
                <w:szCs w:val="24"/>
                <w:lang w:val="sl-SI"/>
              </w:rPr>
              <w:t>,  Steele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R, </w:t>
            </w:r>
            <w:r w:rsidRPr="006D064D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Family Health Care Nursing: Theory, Practice, and Research</w:t>
            </w:r>
            <w:r w:rsidRPr="00D32A9D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 –  2014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, </w:t>
            </w:r>
            <w:r w:rsidRPr="00A32C71">
              <w:rPr>
                <w:rFonts w:ascii="Garamond" w:hAnsi="Garamond" w:cs="Times New Roman"/>
                <w:sz w:val="24"/>
                <w:szCs w:val="24"/>
                <w:lang w:val="sl-SI"/>
              </w:rPr>
              <w:t>Publisher: A  Davis Company</w:t>
            </w:r>
          </w:p>
          <w:p w:rsidR="00DF4B8C" w:rsidP="00DF4B8C" w:rsidRDefault="00DF4B8C" w14:paraId="245CAE6A" w14:textId="77777777">
            <w:pPr>
              <w:pStyle w:val="Odstavekseznama"/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:rsidR="00DF4B8C" w:rsidP="00BB324A" w:rsidRDefault="00DF4B8C" w14:paraId="100E6E2A" w14:textId="03A2C22C">
            <w:pPr>
              <w:pStyle w:val="Odstavekseznama"/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Schulz 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>R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O'Brien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A,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Czaja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S,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Ory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M, 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 Norris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R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 Martire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L M,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Belle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S H, 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Burgio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L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 Gitlin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L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Coon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D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Burns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 R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Gallagher-Thompson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D, 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Stevens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A: </w:t>
            </w:r>
            <w:r w:rsidRPr="003278C4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Dementia caregiver intervention research: in search of clinical significance.</w:t>
            </w:r>
            <w:r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 xml:space="preserve"> </w:t>
            </w:r>
            <w:r w:rsidRPr="003278C4">
              <w:rPr>
                <w:rFonts w:ascii="Garamond" w:hAnsi="Garamond" w:cs="Times New Roman"/>
                <w:sz w:val="24"/>
                <w:szCs w:val="24"/>
                <w:lang w:val="sl-SI"/>
              </w:rPr>
              <w:t>Published in final edited form as: Gerontologist. 2002 October ; 42(5): 589–602.   (NIH Public Access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>)</w:t>
            </w:r>
          </w:p>
          <w:p w:rsidRPr="00DF4B8C" w:rsidR="00DF4B8C" w:rsidP="00DF4B8C" w:rsidRDefault="00DF4B8C" w14:paraId="27CC5FA1" w14:textId="77777777">
            <w:pPr>
              <w:pStyle w:val="Odstavekseznama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:rsidR="00DF4B8C" w:rsidP="00DF4B8C" w:rsidRDefault="00000000" w14:paraId="5C6E63FF" w14:textId="6C22F028">
            <w:pPr>
              <w:pStyle w:val="Odstavekseznama"/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hyperlink w:history="1" r:id="rId24">
              <w:r w:rsidRPr="00CC32D1" w:rsidR="00DF4B8C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https://www.alzheimers.org.uk/dementia-professionals/resources-professionals/dementia-knowledge-centre</w:t>
              </w:r>
            </w:hyperlink>
          </w:p>
          <w:p w:rsidRPr="00DF4B8C" w:rsidR="00DF4B8C" w:rsidP="00DF4B8C" w:rsidRDefault="00DF4B8C" w14:paraId="6AD55AFF" w14:textId="77777777">
            <w:pPr>
              <w:pStyle w:val="Odstavekseznama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:rsidR="00DF4B8C" w:rsidP="00DF4B8C" w:rsidRDefault="00000000" w14:paraId="51C62BDB" w14:textId="2DC697CC">
            <w:pPr>
              <w:pStyle w:val="Odstavekseznama"/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hyperlink w:history="1" r:id="rId25">
              <w:r w:rsidRPr="00CC32D1" w:rsidR="00DF4B8C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https://www.forwardwithdementia.org/en/article/communicating-a-dementia-diagnosis/#</w:t>
              </w:r>
            </w:hyperlink>
          </w:p>
          <w:p w:rsidRPr="00DF4B8C" w:rsidR="00DF4B8C" w:rsidP="00DF4B8C" w:rsidRDefault="00DF4B8C" w14:paraId="66CBC0C0" w14:textId="77777777">
            <w:pPr>
              <w:pStyle w:val="Odstavekseznama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:rsidR="00DF4B8C" w:rsidP="00DF4B8C" w:rsidRDefault="00000000" w14:paraId="6F3B8149" w14:textId="7B1C8BA5">
            <w:pPr>
              <w:pStyle w:val="Odstavekseznama"/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hyperlink w:history="1" r:id="rId26">
              <w:r w:rsidRPr="00CC32D1" w:rsidR="00DF4B8C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https://solidaritessante.gouv.fr/IMG/pdf/french_neurodegenerativediseasesplan2014_2019-2.pdf</w:t>
              </w:r>
            </w:hyperlink>
          </w:p>
          <w:p w:rsidRPr="0075267B" w:rsidR="0075267B" w:rsidP="0075267B" w:rsidRDefault="0075267B" w14:paraId="66F9D68F" w14:textId="77777777">
            <w:pPr>
              <w:pStyle w:val="Odstavekseznama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:rsidRPr="00A32C71" w:rsidR="00D32A9D" w:rsidP="00AF4D95" w:rsidRDefault="00AF4D95" w14:paraId="7DA8FE41" w14:textId="77777777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</w:pPr>
            <w:r w:rsidRPr="00A32C71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5:</w:t>
            </w:r>
            <w:r w:rsidRPr="00A32C71" w:rsidR="00D32A9D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 </w:t>
            </w:r>
          </w:p>
          <w:p w:rsidRPr="00D32A9D" w:rsidR="00D32A9D" w:rsidP="00D32A9D" w:rsidRDefault="00D32A9D" w14:paraId="572EEDB6" w14:textId="77777777">
            <w:pPr>
              <w:pStyle w:val="Odstavekseznama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Pr="00A32C71" w:rsidR="00A32C71" w:rsidP="00BB324A" w:rsidRDefault="00A32C71" w14:paraId="10B9E4D7" w14:textId="77777777">
            <w:pPr>
              <w:pStyle w:val="Odstavekseznama"/>
              <w:numPr>
                <w:ilvl w:val="0"/>
                <w:numId w:val="31"/>
              </w:num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32C71">
              <w:rPr>
                <w:rFonts w:ascii="Garamond" w:hAnsi="Garamond" w:cs="Times New Roman"/>
                <w:sz w:val="24"/>
                <w:szCs w:val="24"/>
                <w:lang w:val="sl-SI"/>
              </w:rPr>
              <w:t>Siddhisena, K.A.P., 2005. Socio-economic implications of ageing in Sri Lanka: an overview. Oxford Institute of Ageing Working Papers. Oxford: Oxford Institute of Ageing, 1, p.27.</w:t>
            </w:r>
          </w:p>
          <w:p w:rsidRPr="00A32C71" w:rsidR="00A32C71" w:rsidP="00BB324A" w:rsidRDefault="00A32C71" w14:paraId="468CC87F" w14:textId="77777777">
            <w:pPr>
              <w:pStyle w:val="Odstavekseznama"/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:rsidR="00A32C71" w:rsidP="00BB324A" w:rsidRDefault="00A32C71" w14:paraId="21F4996A" w14:textId="77777777">
            <w:pPr>
              <w:pStyle w:val="Odstavekseznama"/>
              <w:numPr>
                <w:ilvl w:val="0"/>
                <w:numId w:val="31"/>
              </w:num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32C71">
              <w:rPr>
                <w:rFonts w:ascii="Garamond" w:hAnsi="Garamond" w:cs="Times New Roman"/>
                <w:sz w:val="24"/>
                <w:szCs w:val="24"/>
                <w:lang w:val="sl-SI"/>
              </w:rPr>
              <w:t>Perera, B., 2011. Social support and social security issues of elders in Sri Lanka. Galle Medical Journal, 16(2).</w:t>
            </w:r>
          </w:p>
          <w:p w:rsidRPr="0075267B" w:rsidR="0075267B" w:rsidP="0075267B" w:rsidRDefault="0075267B" w14:paraId="2DFBDB15" w14:textId="77777777">
            <w:pPr>
              <w:pStyle w:val="Odstavekseznama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:rsidRPr="0075267B" w:rsidR="0075267B" w:rsidP="0075267B" w:rsidRDefault="0075267B" w14:paraId="4B8EDEB8" w14:textId="77777777">
            <w:pPr>
              <w:pStyle w:val="Odstavekseznama"/>
              <w:numPr>
                <w:ilvl w:val="0"/>
                <w:numId w:val="31"/>
              </w:num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75267B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Holmes, W.R. and Joseph, J., 2011. </w:t>
            </w:r>
            <w:r w:rsidRPr="0075267B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Social participation and healthy ageing: a neglected, significant protective factor for chronic non communicable conditions</w:t>
            </w:r>
            <w:r w:rsidRPr="0075267B">
              <w:rPr>
                <w:rFonts w:ascii="Garamond" w:hAnsi="Garamond" w:cs="Times New Roman"/>
                <w:sz w:val="24"/>
                <w:szCs w:val="24"/>
                <w:lang w:val="sl-SI"/>
              </w:rPr>
              <w:t>. Globalization and health, 7(1), pp.1-8.</w:t>
            </w:r>
          </w:p>
          <w:p w:rsidRPr="00A32C71" w:rsidR="0075267B" w:rsidP="0075267B" w:rsidRDefault="0075267B" w14:paraId="039011EB" w14:textId="77777777">
            <w:pPr>
              <w:pStyle w:val="Odstavekseznama"/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:rsidRPr="00664DCD" w:rsidR="00A32C71" w:rsidP="00A32C71" w:rsidRDefault="00A32C71" w14:paraId="472BB087" w14:textId="77777777">
            <w:pPr>
              <w:pStyle w:val="Odstavekseznama"/>
              <w:jc w:val="both"/>
              <w:rPr>
                <w:rFonts w:ascii="Garamond" w:hAnsi="Garamond" w:cs="Times New Roman"/>
                <w:sz w:val="24"/>
                <w:szCs w:val="24"/>
                <w:highlight w:val="yellow"/>
                <w:lang w:val="sl-SI"/>
              </w:rPr>
            </w:pPr>
          </w:p>
          <w:p w:rsidRPr="0081608B" w:rsidR="0081608B" w:rsidP="00A32C71" w:rsidRDefault="0081608B" w14:paraId="5D91E271" w14:textId="77777777">
            <w:pPr>
              <w:pStyle w:val="Odstavekseznama"/>
              <w:jc w:val="both"/>
              <w:rPr>
                <w:rFonts w:ascii="Garamond" w:hAnsi="Garamond" w:cs="Times New Roman"/>
                <w:sz w:val="24"/>
                <w:szCs w:val="24"/>
                <w:highlight w:val="yellow"/>
                <w:lang w:val="sl-SI"/>
              </w:rPr>
            </w:pPr>
          </w:p>
          <w:p w:rsidRPr="00BB324A" w:rsidR="00247F19" w:rsidP="00BB324A" w:rsidRDefault="007042ED" w14:paraId="69DE7BA8" w14:textId="1821C1D8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Pr="00BB324A" w:rsidR="00AF4D95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6</w:t>
            </w: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:</w:t>
            </w:r>
          </w:p>
          <w:p w:rsidRPr="00385271" w:rsidR="00247F19" w:rsidP="000A595B" w:rsidRDefault="007042ED" w14:paraId="173ACBFA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Hierarchy of Dog Needs | Dog Psychologist On Call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. (n.d.). Retrieved September 7, 2022, from http://www.dogpsychologistoncall.com/hierarchy-of-dog-needs-tm/</w:t>
            </w:r>
          </w:p>
          <w:p w:rsidRPr="00385271" w:rsidR="00247F19" w:rsidP="000A595B" w:rsidRDefault="007042ED" w14:paraId="45AFF788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Bilal Ahmed, S., Obieta, A., Santos, T., Ahmad, S., &amp; Elliot Ibrahim, J. (2022). Effects of Nonpharmacological Interventions on Disruptive Vocalisation in Nursing Home Patients With Dementia—A Systematic Review. 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Frontiers in Rehabilitation Sciences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, 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0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, 106. </w:t>
            </w:r>
            <w:hyperlink w:history="1" r:id="rId27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https://</w:t>
              </w:r>
            </w:hyperlink>
            <w:hyperlink w:history="1" r:id="rId28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doi.org/10.3389/FRESC.2021.718302</w:t>
              </w:r>
            </w:hyperlink>
          </w:p>
          <w:p w:rsidRPr="00385271" w:rsidR="00247F19" w:rsidP="000A595B" w:rsidRDefault="007042ED" w14:paraId="0AB801B6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De Boer, B., Beerens, H. C., Katterbach, M. A., Viduka, M., Willemse, B. M., &amp; Verbeek, H. (2018, November). The physical environment of nursing homes for people with dementia: Traditional nursing homes, small-scale living facilities, and green care farms. In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Healthcare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 (Vol. 6, No. 4, p. 137). MDPI.</w:t>
            </w:r>
          </w:p>
          <w:p w:rsidRPr="00385271" w:rsidR="00247F19" w:rsidP="000A595B" w:rsidRDefault="007042ED" w14:paraId="50266CC5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Lai NM, Chang SMW, Ng SS, Tan SL, Chaiyakunapruk N, Stanaway F. Animal-assisted therapy for dementia. Cochrane Database Syst Rev. 2019 Nov 25;2019(11):CD013243. doi: 10.1002/14651858.CD013243.pub2. PMID: 31763689; PMCID: PMC6953240</w:t>
            </w:r>
          </w:p>
          <w:p w:rsidRPr="00BB324A" w:rsidR="00247F19" w:rsidP="00BB324A" w:rsidRDefault="007042ED" w14:paraId="6D27B09C" w14:textId="0730B5CE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Pr="00BB324A" w:rsidR="00AF4D95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7</w:t>
            </w: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:</w:t>
            </w:r>
          </w:p>
          <w:p w:rsidRPr="00385271" w:rsidR="00247F19" w:rsidP="000A595B" w:rsidRDefault="007042ED" w14:paraId="26AF31DB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fi-FI"/>
              </w:rPr>
              <w:t xml:space="preserve">Kristjanson, L. J., Toye, C., &amp; Dawson, S. (2003). 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New dimensions in palliative care: a palliative approach to neurodegenerative diseases and final illness in older people.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Medical Journal of Australia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179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 S41-S43.</w:t>
            </w:r>
          </w:p>
          <w:p w:rsidRPr="00385271" w:rsidR="00247F19" w:rsidP="000A595B" w:rsidRDefault="007042ED" w14:paraId="2A1868AA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fi-FI"/>
              </w:rPr>
              <w:t xml:space="preserve">Kristjanson, L. J., Aoun, S. M., &amp; Oldham, L. (2006). 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Palliative care and support for people with neurodegenerative conditions and their </w:t>
            </w:r>
            <w:proofErr w:type="spellStart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carers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International journal of palliative nursing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12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(8), 368-377.</w:t>
            </w:r>
          </w:p>
          <w:p w:rsidRPr="00385271" w:rsidR="00247F19" w:rsidP="000A595B" w:rsidRDefault="007042ED" w14:paraId="05740DE4" w14:textId="77777777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Low, J. A., Pang, W. S., Chan, D. K., &amp; Chye, R. (2003). A palliative care approach to end-stage neurodegenerative conditions.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Annals of the Academy of Medicine, Singapore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32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(6), 778-784.</w:t>
            </w:r>
          </w:p>
          <w:p w:rsidRPr="00385271" w:rsidR="003E316A" w:rsidP="00AF4D95" w:rsidRDefault="003E316A" w14:paraId="66C456D5" w14:textId="72BB6584">
            <w:p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</w:tc>
      </w:tr>
    </w:tbl>
    <w:p w:rsidR="3A21B84D" w:rsidRDefault="3A21B84D" w14:paraId="72137F6A" w14:textId="451DF2F1">
      <w:pPr>
        <w:rPr/>
      </w:pPr>
    </w:p>
    <w:p w:rsidRPr="00385271" w:rsidR="00215A13" w:rsidRDefault="00215A13" w14:paraId="3E2ACD95" w14:textId="570FC202">
      <w:pPr>
        <w:rPr>
          <w:rFonts w:ascii="Garamond" w:hAnsi="Garamond" w:cs="Times New Roman"/>
          <w:sz w:val="24"/>
          <w:szCs w:val="24"/>
        </w:rPr>
        <w:sectPr w:rsidRPr="00385271" w:rsidR="00215A13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amre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2551"/>
        <w:gridCol w:w="3551"/>
        <w:gridCol w:w="1867"/>
        <w:gridCol w:w="1906"/>
        <w:gridCol w:w="1890"/>
      </w:tblGrid>
      <w:tr w:rsidRPr="00385271" w:rsidR="00BF6BE0" w:rsidTr="003C2F1A" w14:paraId="09C925B4" w14:textId="77777777">
        <w:trPr>
          <w:trHeight w:val="888"/>
        </w:trPr>
        <w:tc>
          <w:tcPr>
            <w:tcW w:w="14743" w:type="dxa"/>
            <w:gridSpan w:val="6"/>
          </w:tcPr>
          <w:p w:rsidRPr="00385271" w:rsidR="00E1537C" w:rsidRDefault="00314AD9" w14:paraId="79799298" w14:textId="053FB2EF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Course module code and name – </w:t>
            </w:r>
            <w:r w:rsidRPr="00385271" w:rsidR="00EE5022">
              <w:rPr>
                <w:rFonts w:ascii="Garamond" w:hAnsi="Garamond" w:cs="Times New Roman"/>
                <w:b/>
                <w:color w:val="000000" w:themeColor="text1"/>
                <w:sz w:val="28"/>
                <w:szCs w:val="28"/>
              </w:rPr>
              <w:t>Family &amp; Societal Perspectives</w:t>
            </w:r>
          </w:p>
          <w:p w:rsidRPr="00385271" w:rsidR="00E1537C" w:rsidRDefault="00E1537C" w14:paraId="47F9DC5C" w14:textId="77777777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  <w:p w:rsidRPr="00156DBF" w:rsidR="00E1537C" w:rsidRDefault="00314AD9" w14:paraId="57879B19" w14:textId="1260A9F2">
            <w:pPr>
              <w:spacing w:after="0" w:line="240" w:lineRule="auto"/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  <w:t xml:space="preserve">Credits – </w:t>
            </w:r>
            <w:r w:rsidRPr="00156DBF" w:rsidR="00B13F5E"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:rsidRPr="00385271" w:rsidR="00E1537C" w:rsidRDefault="00E1537C" w14:paraId="0855FA95" w14:textId="77777777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  <w:p w:rsidRPr="00156DBF" w:rsidR="00E1537C" w:rsidRDefault="00314AD9" w14:paraId="657ADA34" w14:textId="25A5F28F">
            <w:pPr>
              <w:spacing w:after="0" w:line="240" w:lineRule="auto"/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  <w:t xml:space="preserve">Total time allocation – </w:t>
            </w:r>
            <w:r w:rsidRPr="00156DBF" w:rsidR="008B11B3"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  <w:t xml:space="preserve">50 </w:t>
            </w:r>
            <w:r w:rsidRPr="00156DBF" w:rsidR="00156DBF"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156DBF" w:rsidR="008B11B3"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  <w:t>ours</w:t>
            </w:r>
          </w:p>
          <w:p w:rsidRPr="00385271" w:rsidR="00E1537C" w:rsidRDefault="00E1537C" w14:paraId="3511DFF2" w14:textId="77777777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</w:tr>
      <w:tr w:rsidRPr="00385271" w:rsidR="000560B6" w:rsidTr="00B95399" w14:paraId="5C160129" w14:textId="77777777">
        <w:trPr>
          <w:trHeight w:val="888"/>
        </w:trPr>
        <w:tc>
          <w:tcPr>
            <w:tcW w:w="2978" w:type="dxa"/>
            <w:shd w:val="clear" w:color="auto" w:fill="BFBFBF" w:themeFill="background1" w:themeFillShade="BF"/>
          </w:tcPr>
          <w:p w:rsidRPr="00385271" w:rsidR="00E1537C" w:rsidRDefault="00314AD9" w14:paraId="04B81541" w14:textId="4B9AE1A0">
            <w:pPr>
              <w:spacing w:after="0" w:line="240" w:lineRule="auto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Unit no</w:t>
            </w:r>
            <w:r w:rsidRPr="00385271" w:rsidR="00A33852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 and name 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Pr="00385271" w:rsidR="00E1537C" w:rsidRDefault="00314AD9" w14:paraId="25140E32" w14:textId="78B9C39E">
            <w:pPr>
              <w:spacing w:after="0" w:line="240" w:lineRule="auto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Unit objectives </w:t>
            </w:r>
            <w:r w:rsidRPr="00385271" w:rsidR="00221A6D">
              <w:rPr>
                <w:rFonts w:ascii="Garamond" w:hAnsi="Garamond" w:cs="Times New Roman"/>
                <w:i/>
                <w:color w:val="000000" w:themeColor="text1"/>
                <w:sz w:val="16"/>
                <w:szCs w:val="16"/>
              </w:rPr>
              <w:t>(The objectives of this lesson are for the students to be able to ;)</w:t>
            </w:r>
          </w:p>
        </w:tc>
        <w:tc>
          <w:tcPr>
            <w:tcW w:w="3551" w:type="dxa"/>
            <w:shd w:val="clear" w:color="auto" w:fill="BFBFBF" w:themeFill="background1" w:themeFillShade="BF"/>
          </w:tcPr>
          <w:p w:rsidRPr="00385271" w:rsidR="00E1537C" w:rsidP="000560B6" w:rsidRDefault="00314AD9" w14:paraId="0D7154C1" w14:textId="6437AC16">
            <w:pPr>
              <w:spacing w:after="0" w:line="240" w:lineRule="auto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Lesson plan in brief </w:t>
            </w:r>
          </w:p>
        </w:tc>
        <w:tc>
          <w:tcPr>
            <w:tcW w:w="1867" w:type="dxa"/>
            <w:shd w:val="clear" w:color="auto" w:fill="BFBFBF" w:themeFill="background1" w:themeFillShade="BF"/>
          </w:tcPr>
          <w:p w:rsidRPr="00385271" w:rsidR="00E1537C" w:rsidP="000560B6" w:rsidRDefault="000560B6" w14:paraId="4FCD399E" w14:textId="52A74A4A">
            <w:pPr>
              <w:spacing w:after="0" w:line="240" w:lineRule="auto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Allocated time</w:t>
            </w:r>
          </w:p>
        </w:tc>
        <w:tc>
          <w:tcPr>
            <w:tcW w:w="1906" w:type="dxa"/>
            <w:shd w:val="clear" w:color="auto" w:fill="BFBFBF" w:themeFill="background1" w:themeFillShade="BF"/>
          </w:tcPr>
          <w:p w:rsidRPr="00385271" w:rsidR="00E1537C" w:rsidRDefault="00314AD9" w14:paraId="0F284382" w14:textId="77777777">
            <w:pPr>
              <w:spacing w:after="0" w:line="240" w:lineRule="auto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Teaching learning methods 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Pr="00385271" w:rsidR="00E1537C" w:rsidRDefault="00314AD9" w14:paraId="16B2954A" w14:textId="77777777">
            <w:pPr>
              <w:spacing w:after="0" w:line="240" w:lineRule="auto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Method of assessment </w:t>
            </w:r>
          </w:p>
        </w:tc>
      </w:tr>
      <w:tr w:rsidRPr="00385271" w:rsidR="000560B6" w:rsidTr="00B95399" w14:paraId="682F7093" w14:textId="77777777">
        <w:trPr>
          <w:trHeight w:val="888"/>
        </w:trPr>
        <w:tc>
          <w:tcPr>
            <w:tcW w:w="2978" w:type="dxa"/>
          </w:tcPr>
          <w:p w:rsidRPr="00385271" w:rsidR="00EE5022" w:rsidP="000A595B" w:rsidRDefault="000560B6" w14:paraId="727A9CC2" w14:textId="1BB2016D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459" w:right="20" w:hanging="283"/>
              <w:jc w:val="both"/>
              <w:rPr>
                <w:rFonts w:ascii="Garamond" w:hAnsi="Garamond" w:eastAsia="Times New Roman" w:cs="Times New Roman"/>
                <w:color w:val="000000" w:themeColor="text1"/>
                <w:sz w:val="28"/>
                <w:szCs w:val="28"/>
                <w:lang w:eastAsia="en-MY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8"/>
                <w:szCs w:val="28"/>
              </w:rPr>
              <w:t>The introduction to ageing societies</w:t>
            </w:r>
          </w:p>
          <w:p w:rsidRPr="00385271" w:rsidR="00E1537C" w:rsidP="00C64D4F" w:rsidRDefault="00E1537C" w14:paraId="3EC489F9" w14:textId="77777777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  <w:p w:rsidRPr="00385271" w:rsidR="001F54BB" w:rsidP="00C64D4F" w:rsidRDefault="001F54BB" w14:paraId="53377476" w14:textId="162F5901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385271" w:rsidR="000560B6" w:rsidP="00156DBF" w:rsidRDefault="000560B6" w14:paraId="1F4DF7E5" w14:textId="77777777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Define what an ageing society is, </w:t>
            </w:r>
          </w:p>
          <w:p w:rsidRPr="00385271" w:rsidR="000560B6" w:rsidP="00156DBF" w:rsidRDefault="000560B6" w14:paraId="6583F0D7" w14:textId="2A327FAC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Describe the causes and the process which leads to the aging of a society,</w:t>
            </w:r>
          </w:p>
          <w:p w:rsidRPr="00385271" w:rsidR="000560B6" w:rsidP="00156DBF" w:rsidRDefault="000560B6" w14:paraId="00B376E3" w14:textId="5B33A7E4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Describe and predict the socioeconomic consequences of societal aging, </w:t>
            </w:r>
          </w:p>
          <w:p w:rsidRPr="00385271" w:rsidR="00E1537C" w:rsidP="00156DBF" w:rsidRDefault="000560B6" w14:paraId="117BA24B" w14:textId="4C2D8A7C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Define healthy aging and its importance in an aging society.</w:t>
            </w:r>
          </w:p>
        </w:tc>
        <w:tc>
          <w:tcPr>
            <w:tcW w:w="3551" w:type="dxa"/>
          </w:tcPr>
          <w:p w:rsidRPr="00385271" w:rsidR="000560B6" w:rsidP="000A595B" w:rsidRDefault="000560B6" w14:paraId="0BCA70B4" w14:textId="50166529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163" w:hanging="34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Ageing </w:t>
            </w: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society;</w:t>
            </w:r>
            <w:proofErr w:type="gramEnd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 definition, causes, 5-stage model introduction</w:t>
            </w:r>
          </w:p>
          <w:p w:rsidRPr="00385271" w:rsidR="000560B6" w:rsidP="000A595B" w:rsidRDefault="000560B6" w14:paraId="70525C90" w14:textId="2481EAF1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163" w:hanging="34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Ageing society; population pyramids of example countries by stage</w:t>
            </w:r>
          </w:p>
          <w:p w:rsidRPr="00385271" w:rsidR="000560B6" w:rsidP="000A595B" w:rsidRDefault="000560B6" w14:paraId="22B602D7" w14:textId="68471A89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163" w:hanging="34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Consequences; dependence, socioeconomics of dependence, healthy ageing model introduction</w:t>
            </w:r>
          </w:p>
          <w:p w:rsidRPr="00385271" w:rsidR="000560B6" w:rsidP="000A595B" w:rsidRDefault="000560B6" w14:paraId="3B97B5C4" w14:textId="77777777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163" w:hanging="34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Brief presentation of the data for Sri Lanka in the year 2022</w:t>
            </w:r>
          </w:p>
          <w:p w:rsidRPr="00385271" w:rsidR="00E1537C" w:rsidP="000A595B" w:rsidRDefault="002A04B5" w14:paraId="4F0DDF67" w14:textId="380B8430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163" w:hanging="34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Homework assignment </w:t>
            </w:r>
            <w:r w:rsidRPr="00385271" w:rsidR="000560B6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to create the population pyramids and dependency graphs for Sri Lanka 2022-2100, explain issues with the trends and propose realistic solutions</w:t>
            </w:r>
          </w:p>
        </w:tc>
        <w:tc>
          <w:tcPr>
            <w:tcW w:w="1867" w:type="dxa"/>
          </w:tcPr>
          <w:p w:rsidRPr="00385271" w:rsidR="000560B6" w:rsidP="00156DBF" w:rsidRDefault="5F3624DB" w14:paraId="5C9E2BE4" w14:textId="77777777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</w:t>
            </w:r>
            <w:r w:rsidRPr="00385271" w:rsidR="000560B6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h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(L</w:t>
            </w:r>
            <w:r w:rsidRPr="00385271" w:rsidR="000560B6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:rsidRPr="00385271" w:rsidR="00E1537C" w:rsidP="00156DBF" w:rsidRDefault="00830F81" w14:paraId="6240492F" w14:textId="1C3DB5D8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2h (I</w:t>
            </w:r>
            <w:r w:rsidRPr="00385271" w:rsidR="000560B6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ndependent learning)</w:t>
            </w:r>
          </w:p>
        </w:tc>
        <w:tc>
          <w:tcPr>
            <w:tcW w:w="1906" w:type="dxa"/>
          </w:tcPr>
          <w:p w:rsidRPr="00385271" w:rsidR="00E1537C" w:rsidP="00156DBF" w:rsidRDefault="00973147" w14:paraId="1942FBCA" w14:textId="416A8FFC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:rsidRPr="00385271" w:rsidR="00E1537C" w:rsidP="00156DBF" w:rsidRDefault="000560B6" w14:paraId="0890CE90" w14:textId="305302FA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Discussion during the lecture</w:t>
            </w:r>
          </w:p>
          <w:p w:rsidRPr="00385271" w:rsidR="000560B6" w:rsidP="00156DBF" w:rsidRDefault="000560B6" w14:paraId="7EE01A77" w14:textId="7E605E44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Homework</w:t>
            </w:r>
          </w:p>
          <w:p w:rsidRPr="00385271" w:rsidR="001F54BB" w:rsidP="00156DBF" w:rsidRDefault="001F54BB" w14:paraId="4FD391C3" w14:textId="028BC454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Independent learning</w:t>
            </w:r>
          </w:p>
          <w:p w:rsidRPr="00385271" w:rsidR="00E1537C" w:rsidP="00C64D4F" w:rsidRDefault="00E1537C" w14:paraId="574476F3" w14:textId="447143C1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Pr="00385271" w:rsidR="000560B6" w:rsidP="00156DBF" w:rsidRDefault="000560B6" w14:paraId="0720BB6C" w14:textId="77777777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Homework assignment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(5% of the final module grade)</w:t>
            </w:r>
          </w:p>
          <w:p w:rsidRPr="00385271" w:rsidR="00E1537C" w:rsidP="00156DBF" w:rsidRDefault="000560B6" w14:paraId="7894312C" w14:textId="0453378C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Final exam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(some questions, together with other lectures 80% of the final module grade) </w:t>
            </w:r>
          </w:p>
        </w:tc>
      </w:tr>
      <w:tr w:rsidRPr="00385271" w:rsidR="000560B6" w:rsidTr="00B95399" w14:paraId="44421946" w14:textId="77777777">
        <w:trPr>
          <w:trHeight w:val="888"/>
        </w:trPr>
        <w:tc>
          <w:tcPr>
            <w:tcW w:w="2978" w:type="dxa"/>
            <w:shd w:val="clear" w:color="auto" w:fill="F2F2F2" w:themeFill="background1" w:themeFillShade="F2"/>
          </w:tcPr>
          <w:p w:rsidRPr="00385271" w:rsidR="00EE5022" w:rsidP="00156DBF" w:rsidRDefault="00B4361B" w14:paraId="02EE6DAA" w14:textId="7ECFF783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right="20"/>
              <w:jc w:val="both"/>
              <w:rPr>
                <w:rFonts w:ascii="Garamond" w:hAnsi="Garamond" w:cs="Times New Roman"/>
                <w:color w:val="000000" w:themeColor="text1"/>
                <w:sz w:val="28"/>
                <w:szCs w:val="28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85271" w:rsidR="00991E01">
              <w:rPr>
                <w:rFonts w:ascii="Garamond" w:hAnsi="Garamond" w:cs="Times New Roman"/>
                <w:color w:val="000000" w:themeColor="text1"/>
                <w:sz w:val="28"/>
                <w:szCs w:val="28"/>
              </w:rPr>
              <w:t>Coping with the disease</w:t>
            </w:r>
          </w:p>
          <w:p w:rsidRPr="00385271" w:rsidR="001F54BB" w:rsidP="00C64D4F" w:rsidRDefault="001F54BB" w14:paraId="62E34316" w14:textId="77777777">
            <w:pPr>
              <w:spacing w:after="0" w:line="240" w:lineRule="auto"/>
              <w:ind w:right="20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  <w:p w:rsidRPr="00385271" w:rsidR="005029F5" w:rsidP="00C64D4F" w:rsidRDefault="005029F5" w14:paraId="746928FE" w14:textId="77777777">
            <w:pPr>
              <w:spacing w:after="0" w:line="240" w:lineRule="auto"/>
              <w:ind w:right="20"/>
              <w:jc w:val="both"/>
              <w:rPr>
                <w:rFonts w:ascii="Garamond" w:hAnsi="Garamond" w:cs="Times New Roman"/>
                <w:i/>
                <w:color w:val="000000" w:themeColor="text1"/>
                <w:sz w:val="24"/>
                <w:szCs w:val="24"/>
              </w:rPr>
            </w:pPr>
          </w:p>
          <w:p w:rsidRPr="00385271" w:rsidR="005029F5" w:rsidP="00C64D4F" w:rsidRDefault="005029F5" w14:paraId="7EFEA086" w14:textId="4DBAE6A6">
            <w:pPr>
              <w:spacing w:after="0" w:line="240" w:lineRule="auto"/>
              <w:ind w:right="20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Pr="00385271" w:rsidR="00A735E9" w:rsidP="00156DBF" w:rsidRDefault="00A735E9" w14:paraId="3CA3668A" w14:textId="7777777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Explain the tenets of good communication with family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members</w:t>
            </w:r>
            <w:proofErr w:type="gramEnd"/>
          </w:p>
          <w:p w:rsidRPr="00385271" w:rsidR="00A735E9" w:rsidP="00156DBF" w:rsidRDefault="00A735E9" w14:paraId="55DFD6CB" w14:textId="7777777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Interpret the reactions of the family towards the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diagnosis</w:t>
            </w:r>
            <w:r w:rsidRPr="0038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​</w:t>
            </w:r>
            <w:proofErr w:type="gramEnd"/>
          </w:p>
          <w:p w:rsidRPr="00385271" w:rsidR="00A735E9" w:rsidP="00156DBF" w:rsidRDefault="00A735E9" w14:paraId="12F9519B" w14:textId="7777777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Recognize the importance of ‘balanced education’ about the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disease</w:t>
            </w:r>
            <w:r w:rsidRPr="0038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​</w:t>
            </w:r>
            <w:proofErr w:type="gramEnd"/>
          </w:p>
          <w:p w:rsidRPr="00385271" w:rsidR="00A735E9" w:rsidP="00156DBF" w:rsidRDefault="00A735E9" w14:paraId="37ADB89E" w14:textId="7777777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Explain strategies of planning an effective living environment for a person with NDD</w:t>
            </w:r>
          </w:p>
          <w:p w:rsidRPr="00385271" w:rsidR="00A735E9" w:rsidP="00156DBF" w:rsidRDefault="00A735E9" w14:paraId="1510729A" w14:textId="7777777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Outline the partnership in own care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model</w:t>
            </w:r>
            <w:r w:rsidRPr="0038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​</w:t>
            </w:r>
            <w:proofErr w:type="gramEnd"/>
          </w:p>
          <w:p w:rsidRPr="00385271" w:rsidR="00E1537C" w:rsidP="00156DBF" w:rsidRDefault="00A735E9" w14:paraId="09612ED1" w14:textId="349F9E3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 the impact of early onset dementia on children</w:t>
            </w:r>
          </w:p>
        </w:tc>
        <w:tc>
          <w:tcPr>
            <w:tcW w:w="3551" w:type="dxa"/>
            <w:shd w:val="clear" w:color="auto" w:fill="F2F2F2" w:themeFill="background1" w:themeFillShade="F2"/>
          </w:tcPr>
          <w:p w:rsidRPr="00385271" w:rsidR="00A12139" w:rsidP="00156DBF" w:rsidRDefault="00A12139" w14:paraId="49DF6388" w14:textId="77777777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Breaking bad news – first things to say to family after </w:t>
            </w: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diagnosis</w:t>
            </w:r>
            <w:proofErr w:type="gramEnd"/>
          </w:p>
          <w:p w:rsidRPr="00385271" w:rsidR="00A12139" w:rsidP="00156DBF" w:rsidRDefault="00A12139" w14:paraId="19FA4488" w14:textId="4B5C3881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Assessing reaction to diagnosis</w:t>
            </w:r>
          </w:p>
          <w:p w:rsidRPr="00385271" w:rsidR="00A12139" w:rsidP="00156DBF" w:rsidRDefault="00A12139" w14:paraId="3123CD01" w14:textId="77777777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What NDD means for patients</w:t>
            </w:r>
          </w:p>
          <w:p w:rsidRPr="00385271" w:rsidR="00A12139" w:rsidP="00156DBF" w:rsidRDefault="00A12139" w14:paraId="457C70A9" w14:textId="77777777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What NDD means for families</w:t>
            </w:r>
          </w:p>
          <w:p w:rsidRPr="00385271" w:rsidR="00A12139" w:rsidP="00156DBF" w:rsidRDefault="00A12139" w14:paraId="51FAE04E" w14:textId="3E659C5D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Empathizing with patients with NDD and their families </w:t>
            </w:r>
          </w:p>
          <w:p w:rsidRPr="00385271" w:rsidR="00A12139" w:rsidP="00156DBF" w:rsidRDefault="00A12139" w14:paraId="207BF32B" w14:textId="1A87F0FB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Communication with family delivered with </w:t>
            </w: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positivity</w:t>
            </w:r>
            <w:proofErr w:type="gramEnd"/>
          </w:p>
          <w:p w:rsidRPr="00385271" w:rsidR="00A12139" w:rsidP="00156DBF" w:rsidRDefault="00A12139" w14:paraId="4E2C8280" w14:textId="77777777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Strategies for caregivers: communicating with NDD </w:t>
            </w: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patients</w:t>
            </w:r>
            <w:proofErr w:type="gramEnd"/>
          </w:p>
          <w:p w:rsidRPr="00385271" w:rsidR="00A12139" w:rsidP="00156DBF" w:rsidRDefault="00A12139" w14:paraId="1C974617" w14:textId="77777777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Strategies for caregivers: communicating with </w:t>
            </w: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family</w:t>
            </w:r>
            <w:proofErr w:type="gramEnd"/>
          </w:p>
          <w:p w:rsidRPr="00385271" w:rsidR="00A12139" w:rsidP="00156DBF" w:rsidRDefault="00A12139" w14:paraId="72688ECF" w14:textId="77777777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Helping family members communicate with loved </w:t>
            </w: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ones</w:t>
            </w:r>
            <w:proofErr w:type="gramEnd"/>
          </w:p>
          <w:p w:rsidRPr="00385271" w:rsidR="00A12139" w:rsidP="00156DBF" w:rsidRDefault="00A12139" w14:paraId="303B8CB8" w14:textId="77777777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What </w:t>
            </w: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are</w:t>
            </w:r>
            <w:proofErr w:type="gramEnd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 the information needs and how best to deliver this information?</w:t>
            </w:r>
          </w:p>
          <w:p w:rsidRPr="00385271" w:rsidR="00A12139" w:rsidP="00156DBF" w:rsidRDefault="00A12139" w14:paraId="77922982" w14:textId="77777777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Balanced education about the disease (not too much too early)</w:t>
            </w:r>
          </w:p>
          <w:p w:rsidRPr="00385271" w:rsidR="00A12139" w:rsidP="00156DBF" w:rsidRDefault="00A12139" w14:paraId="3D4F690C" w14:textId="7166183A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Planning the living conditions/environment (overview)</w:t>
            </w:r>
          </w:p>
          <w:p w:rsidRPr="00385271" w:rsidR="00A12139" w:rsidP="00156DBF" w:rsidRDefault="00A12139" w14:paraId="2A7DBEE9" w14:textId="48AE789E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Partnership  in</w:t>
            </w:r>
            <w:proofErr w:type="gramEnd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 own care model (overview)</w:t>
            </w:r>
          </w:p>
          <w:p w:rsidRPr="00385271" w:rsidR="00E1537C" w:rsidP="00156DBF" w:rsidRDefault="00A12139" w14:paraId="704DBE65" w14:textId="4E74A965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Understand the impact of young onset dementia on children</w:t>
            </w:r>
          </w:p>
        </w:tc>
        <w:tc>
          <w:tcPr>
            <w:tcW w:w="1867" w:type="dxa"/>
            <w:shd w:val="clear" w:color="auto" w:fill="F2F2F2" w:themeFill="background1" w:themeFillShade="F2"/>
          </w:tcPr>
          <w:p w:rsidRPr="00156DBF" w:rsidR="00E1537C" w:rsidP="00156DBF" w:rsidRDefault="5F3624DB" w14:paraId="04C36D03" w14:textId="77777777">
            <w:pPr>
              <w:pStyle w:val="Odstavekseznam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156DBF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</w:t>
            </w:r>
            <w:r w:rsidRPr="00156DBF" w:rsidR="00830F8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h</w:t>
            </w:r>
            <w:r w:rsidRPr="00156DBF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(L</w:t>
            </w:r>
            <w:r w:rsidRPr="00156DBF" w:rsidR="00830F8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156DBF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:rsidRPr="00156DBF" w:rsidR="00FA16BA" w:rsidP="00156DBF" w:rsidRDefault="00FA16BA" w14:paraId="718E2AEA" w14:textId="5839BC0B">
            <w:pPr>
              <w:pStyle w:val="Odstavekseznam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156DBF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4h (Independent learning)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Pr="00385271" w:rsidR="00E1537C" w:rsidP="00156DBF" w:rsidRDefault="00973147" w14:paraId="1D001169" w14:textId="7F2FCE31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:rsidRPr="00385271" w:rsidR="00E1537C" w:rsidP="00156DBF" w:rsidRDefault="00973147" w14:paraId="5D453ABB" w14:textId="1119EDE7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Facilitated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discussion</w:t>
            </w:r>
            <w:proofErr w:type="gramEnd"/>
          </w:p>
          <w:p w:rsidRPr="00385271" w:rsidR="00E1537C" w:rsidP="00156DBF" w:rsidRDefault="003F6DB2" w14:paraId="76114785" w14:textId="5119C2EF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Independent</w:t>
            </w:r>
            <w:r w:rsidRPr="00385271" w:rsidR="00973147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study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Pr="00385271" w:rsidR="00E1537C" w:rsidP="00156DBF" w:rsidRDefault="007E021A" w14:paraId="0FF1A48B" w14:textId="303C077E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Final</w:t>
            </w:r>
            <w:r w:rsidRPr="00385271" w:rsidR="00973147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 exam</w:t>
            </w: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(some questions, together with other lectures 80% of the final module grade)</w:t>
            </w:r>
          </w:p>
        </w:tc>
      </w:tr>
      <w:tr w:rsidRPr="00385271" w:rsidR="000560B6" w:rsidTr="00B95399" w14:paraId="4B687D1D" w14:textId="77777777">
        <w:trPr>
          <w:trHeight w:val="888"/>
        </w:trPr>
        <w:tc>
          <w:tcPr>
            <w:tcW w:w="2978" w:type="dxa"/>
          </w:tcPr>
          <w:p w:rsidRPr="00156DBF" w:rsidR="00EE5022" w:rsidP="000A595B" w:rsidRDefault="00EE5022" w14:paraId="18CAA2A7" w14:textId="475D313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459" w:right="20" w:hanging="283"/>
              <w:jc w:val="both"/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 xml:space="preserve">Living with </w:t>
            </w:r>
            <w:r w:rsidRPr="00156DBF" w:rsidR="00A42B31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NDD</w:t>
            </w:r>
          </w:p>
          <w:p w:rsidRPr="00385271" w:rsidR="00EE5022" w:rsidP="00C64D4F" w:rsidRDefault="00EE5022" w14:paraId="053D694F" w14:textId="1FFD9D1F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  <w:p w:rsidRPr="00385271" w:rsidR="00EE5022" w:rsidP="00C64D4F" w:rsidRDefault="00EE5022" w14:paraId="543AE69E" w14:textId="31764804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385271" w:rsidR="00A42B31" w:rsidP="00156DBF" w:rsidRDefault="00A42B31" w14:paraId="748AC64B" w14:textId="38438D60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Outline the important aspects of educating caregivers on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NDDs</w:t>
            </w:r>
            <w:proofErr w:type="gramEnd"/>
          </w:p>
          <w:p w:rsidRPr="00385271" w:rsidR="00A42B31" w:rsidP="00156DBF" w:rsidRDefault="00A42B31" w14:paraId="44D3FC99" w14:textId="77777777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Describe different aspects of care and well-being for individuals with NDDs,</w:t>
            </w:r>
          </w:p>
          <w:p w:rsidRPr="00385271" w:rsidR="00A42B31" w:rsidP="00156DBF" w:rsidRDefault="00A42B31" w14:paraId="6A4DC4B3" w14:textId="77777777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Outline the role of the caregiver in the shared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decision making</w:t>
            </w:r>
            <w:proofErr w:type="gramEnd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process,</w:t>
            </w:r>
          </w:p>
          <w:p w:rsidRPr="00385271" w:rsidR="00A42B31" w:rsidP="00156DBF" w:rsidRDefault="00A42B31" w14:paraId="5E4B6DA9" w14:textId="77777777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Explain the need for institutional help in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care for individuals with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NDDs</w:t>
            </w:r>
            <w:proofErr w:type="gramEnd"/>
          </w:p>
          <w:p w:rsidRPr="00385271" w:rsidR="00A42B31" w:rsidP="00156DBF" w:rsidRDefault="00A42B31" w14:paraId="18393352" w14:textId="77777777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Discuss the importance of ‘caring for the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caregiver’</w:t>
            </w:r>
            <w:proofErr w:type="gramEnd"/>
          </w:p>
          <w:p w:rsidRPr="00385271" w:rsidR="00EE5022" w:rsidP="00156DBF" w:rsidRDefault="00A42B31" w14:paraId="72AE1EE7" w14:textId="5000F188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Outline strategies to recognize and prevent abuse.</w:t>
            </w:r>
          </w:p>
        </w:tc>
        <w:tc>
          <w:tcPr>
            <w:tcW w:w="3551" w:type="dxa"/>
          </w:tcPr>
          <w:p w:rsidRPr="00385271" w:rsidR="002967B0" w:rsidP="000A595B" w:rsidRDefault="002967B0" w14:paraId="03BC7455" w14:textId="7777777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231" w:hanging="77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 xml:space="preserve">Step by step education for parent and </w:t>
            </w: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care-giver</w:t>
            </w:r>
            <w:proofErr w:type="gramEnd"/>
          </w:p>
          <w:p w:rsidRPr="00385271" w:rsidR="002967B0" w:rsidP="000A595B" w:rsidRDefault="002967B0" w14:paraId="24C606AE" w14:textId="7777777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163" w:hanging="34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Personal plan of care with shared decision making</w:t>
            </w:r>
          </w:p>
          <w:p w:rsidRPr="00385271" w:rsidR="002967B0" w:rsidP="000A595B" w:rsidRDefault="002967B0" w14:paraId="5C56FF7F" w14:textId="7777777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163" w:hanging="34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Dynamic adaptation of plan – living document , new family roles</w:t>
            </w:r>
          </w:p>
          <w:p w:rsidRPr="00385271" w:rsidR="002967B0" w:rsidP="000A595B" w:rsidRDefault="002967B0" w14:paraId="479C4FC4" w14:textId="7777777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163" w:hanging="34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Teaching relatives/informal care givers, how to deal with aspects of care</w:t>
            </w:r>
          </w:p>
          <w:p w:rsidRPr="00385271" w:rsidR="002967B0" w:rsidP="000A595B" w:rsidRDefault="002967B0" w14:paraId="610B7AF4" w14:textId="7777777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163" w:hanging="34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When to seek institutionalized help</w:t>
            </w:r>
          </w:p>
          <w:p w:rsidRPr="00385271" w:rsidR="002967B0" w:rsidP="000A595B" w:rsidRDefault="002967B0" w14:paraId="6FBB5D8E" w14:textId="7777777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163" w:hanging="34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Caring for the caregivers – respite care, prevention of burn out</w:t>
            </w:r>
          </w:p>
          <w:p w:rsidRPr="00385271" w:rsidR="00EE5022" w:rsidP="000A595B" w:rsidRDefault="002967B0" w14:paraId="1CE46627" w14:textId="099CAC63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163" w:hanging="34"/>
              <w:jc w:val="both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</w:rPr>
              <w:t>Recognizing and preventing abuse</w:t>
            </w:r>
          </w:p>
        </w:tc>
        <w:tc>
          <w:tcPr>
            <w:tcW w:w="1867" w:type="dxa"/>
          </w:tcPr>
          <w:p w:rsidRPr="00385271" w:rsidR="00EE5022" w:rsidP="00156DBF" w:rsidRDefault="5F3624DB" w14:paraId="4B35E956" w14:textId="70E0F557">
            <w:pPr>
              <w:pStyle w:val="Odstavekseznam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3</w:t>
            </w:r>
            <w:r w:rsidRPr="00385271" w:rsidR="002967B0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h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(L</w:t>
            </w:r>
            <w:r w:rsidRPr="00385271" w:rsidR="002967B0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:rsidRPr="00385271" w:rsidR="00EE5022" w:rsidP="00156DBF" w:rsidRDefault="5F3624DB" w14:paraId="4FBCEF31" w14:textId="59C83688">
            <w:pPr>
              <w:pStyle w:val="Odstavekseznam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</w:t>
            </w:r>
            <w:r w:rsidRPr="00385271" w:rsidR="002967B0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h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</w:t>
            </w:r>
            <w:r w:rsidRPr="00385271" w:rsidR="002967B0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Case studies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:rsidRPr="00385271" w:rsidR="002967B0" w:rsidP="00156DBF" w:rsidRDefault="002967B0" w14:paraId="012F9EBE" w14:textId="01310711">
            <w:pPr>
              <w:pStyle w:val="Odstavekseznam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6.5h (Independent learning)</w:t>
            </w:r>
          </w:p>
        </w:tc>
        <w:tc>
          <w:tcPr>
            <w:tcW w:w="1906" w:type="dxa"/>
          </w:tcPr>
          <w:p w:rsidRPr="00385271" w:rsidR="004F0EED" w:rsidP="00156DBF" w:rsidRDefault="004F0EED" w14:paraId="0FAC12BF" w14:textId="77777777">
            <w:pPr>
              <w:pStyle w:val="Odstavekseznam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:rsidRPr="00385271" w:rsidR="004F0EED" w:rsidP="00156DBF" w:rsidRDefault="004F0EED" w14:paraId="36AA41F0" w14:textId="33A658DE">
            <w:pPr>
              <w:pStyle w:val="Odstavekseznam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Facilitated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discussion</w:t>
            </w:r>
            <w:proofErr w:type="gramEnd"/>
          </w:p>
          <w:p w:rsidRPr="00385271" w:rsidR="00EE5022" w:rsidP="00156DBF" w:rsidRDefault="004F0EED" w14:paraId="1AE997D2" w14:textId="5718189C">
            <w:pPr>
              <w:pStyle w:val="Odstavekseznam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Independent study</w:t>
            </w:r>
          </w:p>
        </w:tc>
        <w:tc>
          <w:tcPr>
            <w:tcW w:w="1890" w:type="dxa"/>
          </w:tcPr>
          <w:p w:rsidRPr="00385271" w:rsidR="00EE5022" w:rsidP="00156DBF" w:rsidRDefault="004F0EED" w14:paraId="0E7220FF" w14:textId="563AA9E7">
            <w:pPr>
              <w:pStyle w:val="Odstavekseznam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Final exam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(some questions, together with other lectures 80% of the final module grade)</w:t>
            </w:r>
          </w:p>
        </w:tc>
      </w:tr>
      <w:tr w:rsidRPr="00385271" w:rsidR="000560B6" w:rsidTr="00B95399" w14:paraId="36D0FEEF" w14:textId="77777777">
        <w:trPr>
          <w:trHeight w:val="888"/>
        </w:trPr>
        <w:tc>
          <w:tcPr>
            <w:tcW w:w="2978" w:type="dxa"/>
          </w:tcPr>
          <w:p w:rsidRPr="00156DBF" w:rsidR="008B732A" w:rsidP="00B0010E" w:rsidRDefault="00B0010E" w14:paraId="312495E0" w14:textId="1D5F100C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459" w:right="20" w:hanging="283"/>
              <w:jc w:val="both"/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Families and the ageing society</w:t>
            </w:r>
          </w:p>
          <w:p w:rsidRPr="00385271" w:rsidR="00B0010E" w:rsidP="00C64D4F" w:rsidRDefault="00B0010E" w14:paraId="2190315E" w14:textId="77777777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</w:p>
          <w:p w:rsidRPr="00385271" w:rsidR="008B732A" w:rsidP="00B0010E" w:rsidRDefault="008B732A" w14:paraId="2DA436F9" w14:textId="17342970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385271" w:rsidR="00221A6D" w:rsidP="00156DBF" w:rsidRDefault="00221A6D" w14:paraId="417A9410" w14:textId="2F1C6AA4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Identify the impact of ageing on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families</w:t>
            </w:r>
            <w:proofErr w:type="gramEnd"/>
          </w:p>
          <w:p w:rsidRPr="00385271" w:rsidR="00221A6D" w:rsidP="00156DBF" w:rsidRDefault="00221A6D" w14:paraId="0036C0F6" w14:textId="0FEB3649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Describe the impact of caring for an elderly with NDD on the caregivers in the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family</w:t>
            </w:r>
            <w:proofErr w:type="gramEnd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Pr="00385271" w:rsidR="008B732A" w:rsidP="00156DBF" w:rsidRDefault="00221A6D" w14:paraId="0FDDCA3F" w14:textId="02AF9C8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 the burnout for all types of caregivers</w:t>
            </w:r>
          </w:p>
        </w:tc>
        <w:tc>
          <w:tcPr>
            <w:tcW w:w="3551" w:type="dxa"/>
          </w:tcPr>
          <w:p w:rsidRPr="00385271" w:rsidR="00C77A5F" w:rsidP="002F2D2B" w:rsidRDefault="00C77A5F" w14:paraId="3DB6485C" w14:textId="77777777">
            <w:pPr>
              <w:pStyle w:val="Odstavekseznama"/>
              <w:numPr>
                <w:ilvl w:val="0"/>
                <w:numId w:val="17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Presentation of the impact of ageing on families, including the Sri Lankan context</w:t>
            </w:r>
          </w:p>
          <w:p w:rsidRPr="00385271" w:rsidR="00C77A5F" w:rsidP="002F2D2B" w:rsidRDefault="00C77A5F" w14:paraId="1502D6F4" w14:textId="77777777">
            <w:pPr>
              <w:pStyle w:val="Odstavekseznama"/>
              <w:numPr>
                <w:ilvl w:val="0"/>
                <w:numId w:val="17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Discussion and presentation of effects that caring for an elder with an NDD has on the caregivers in the family, including some NDD specifics</w:t>
            </w:r>
          </w:p>
          <w:p w:rsidRPr="00385271" w:rsidR="008B732A" w:rsidP="002F2D2B" w:rsidRDefault="00C77A5F" w14:paraId="4AA499EB" w14:textId="28FD06D7">
            <w:pPr>
              <w:pStyle w:val="Odstavekseznama"/>
              <w:numPr>
                <w:ilvl w:val="0"/>
                <w:numId w:val="17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Impression of the importance of burnout of caregivers of all types on the students</w:t>
            </w:r>
          </w:p>
        </w:tc>
        <w:tc>
          <w:tcPr>
            <w:tcW w:w="1867" w:type="dxa"/>
          </w:tcPr>
          <w:p w:rsidRPr="00385271" w:rsidR="008B732A" w:rsidP="00156DBF" w:rsidRDefault="008B732A" w14:paraId="2074D97F" w14:textId="77777777">
            <w:pPr>
              <w:pStyle w:val="Odstavekseznam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</w:t>
            </w:r>
            <w:r w:rsidRPr="00385271" w:rsidR="00B03DD9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h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(L</w:t>
            </w:r>
            <w:r w:rsidRPr="00385271" w:rsidR="00B03DD9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:rsidRPr="00385271" w:rsidR="00B03DD9" w:rsidP="00156DBF" w:rsidRDefault="00B03DD9" w14:paraId="27B1ADB4" w14:textId="0DC5A1B2">
            <w:pPr>
              <w:pStyle w:val="Odstavekseznam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2h (Independent learning)</w:t>
            </w:r>
          </w:p>
        </w:tc>
        <w:tc>
          <w:tcPr>
            <w:tcW w:w="1906" w:type="dxa"/>
          </w:tcPr>
          <w:p w:rsidRPr="00385271" w:rsidR="008B732A" w:rsidP="00156DBF" w:rsidRDefault="008B732A" w14:paraId="70C91664" w14:textId="77777777">
            <w:pPr>
              <w:pStyle w:val="Odstavekseznam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:rsidRPr="00385271" w:rsidR="001B5B11" w:rsidP="00156DBF" w:rsidRDefault="001B5B11" w14:paraId="6661AA5B" w14:textId="6D6CE27A">
            <w:pPr>
              <w:pStyle w:val="Odstavekseznam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Independent study</w:t>
            </w:r>
          </w:p>
        </w:tc>
        <w:tc>
          <w:tcPr>
            <w:tcW w:w="1890" w:type="dxa"/>
          </w:tcPr>
          <w:p w:rsidRPr="00385271" w:rsidR="008B732A" w:rsidP="00156DBF" w:rsidRDefault="00B03DD9" w14:paraId="4BD14857" w14:textId="402C6AD5">
            <w:pPr>
              <w:pStyle w:val="Odstavekseznam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Final exam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(some questions, together with other lectures 80% of the final module grade)</w:t>
            </w:r>
          </w:p>
        </w:tc>
      </w:tr>
      <w:tr w:rsidRPr="00385271" w:rsidR="000560B6" w:rsidTr="00B95399" w14:paraId="2941CCDF" w14:textId="77777777">
        <w:trPr>
          <w:trHeight w:val="888"/>
        </w:trPr>
        <w:tc>
          <w:tcPr>
            <w:tcW w:w="2978" w:type="dxa"/>
          </w:tcPr>
          <w:p w:rsidRPr="00156DBF" w:rsidR="00EE5022" w:rsidP="00156DBF" w:rsidRDefault="00EE5022" w14:paraId="5B1C17A7" w14:textId="168EF604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right="20"/>
              <w:jc w:val="both"/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Support systems for the family</w:t>
            </w:r>
          </w:p>
          <w:p w:rsidRPr="00385271" w:rsidR="003B51F4" w:rsidP="003B51F4" w:rsidRDefault="003B51F4" w14:paraId="07B9C1DE" w14:textId="77777777">
            <w:pPr>
              <w:spacing w:after="0" w:line="240" w:lineRule="auto"/>
              <w:ind w:right="20"/>
              <w:jc w:val="both"/>
              <w:rPr>
                <w:rFonts w:ascii="Garamond" w:hAnsi="Garamond" w:cs="Times New Roman"/>
                <w:color w:val="000000" w:themeColor="text1"/>
                <w:sz w:val="28"/>
                <w:szCs w:val="28"/>
              </w:rPr>
            </w:pPr>
          </w:p>
          <w:p w:rsidRPr="00385271" w:rsidR="00EE5022" w:rsidP="00C64D4F" w:rsidRDefault="00EE5022" w14:paraId="3827E0E4" w14:textId="0198A52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385271" w:rsidR="00CB5443" w:rsidP="00156DBF" w:rsidRDefault="00221A6D" w14:paraId="7F77FC14" w14:textId="52103B0F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</w:t>
            </w:r>
            <w:r w:rsidRPr="00385271" w:rsidR="00CB544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dentify the challenges faced by families and roles of the families towards </w:t>
            </w:r>
            <w:proofErr w:type="gramStart"/>
            <w:r w:rsidRPr="00385271" w:rsidR="00CB544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caregiving</w:t>
            </w:r>
            <w:proofErr w:type="gramEnd"/>
          </w:p>
          <w:p w:rsidRPr="00385271" w:rsidR="00D96838" w:rsidP="00156DBF" w:rsidRDefault="00221A6D" w14:paraId="2A4D9CF9" w14:textId="1BEDB83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</w:t>
            </w:r>
            <w:r w:rsidRPr="00385271" w:rsidR="00D96838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dentify the support systems available within the family </w:t>
            </w:r>
            <w:r w:rsidRPr="00385271" w:rsidR="00180CF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of </w:t>
            </w:r>
            <w:r w:rsidRPr="00385271" w:rsidR="00D96838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care</w:t>
            </w:r>
            <w:r w:rsidRPr="00385271" w:rsidR="00CB544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5271" w:rsidR="00C55BD0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for the</w:t>
            </w:r>
            <w:r w:rsidRPr="00385271" w:rsidR="00D96838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individuals with </w:t>
            </w:r>
            <w:proofErr w:type="gramStart"/>
            <w:r w:rsidRPr="00385271" w:rsidR="00D96838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NDs</w:t>
            </w:r>
            <w:proofErr w:type="gramEnd"/>
          </w:p>
          <w:p w:rsidRPr="00385271" w:rsidR="008B11B3" w:rsidP="00156DBF" w:rsidRDefault="00221A6D" w14:paraId="6CEB61D1" w14:textId="1DE4E7D4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</w:t>
            </w:r>
            <w:r w:rsidRPr="00385271" w:rsidR="00D96838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escribe the different aspects of support rendered by each organization </w:t>
            </w:r>
            <w:r w:rsidRPr="00385271" w:rsidR="00D96838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(government/non-government)</w:t>
            </w:r>
          </w:p>
        </w:tc>
        <w:tc>
          <w:tcPr>
            <w:tcW w:w="3551" w:type="dxa"/>
          </w:tcPr>
          <w:p w:rsidRPr="00385271" w:rsidR="00D96838" w:rsidP="00156DBF" w:rsidRDefault="00D96838" w14:paraId="49B71FAE" w14:textId="3B82F803">
            <w:pPr>
              <w:pStyle w:val="Odstavekseznama"/>
              <w:numPr>
                <w:ilvl w:val="0"/>
                <w:numId w:val="18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Support systems within families</w:t>
            </w:r>
          </w:p>
          <w:p w:rsidRPr="00385271" w:rsidR="00D96838" w:rsidP="00156DBF" w:rsidRDefault="00D96838" w14:paraId="114740E9" w14:textId="032C5DAB">
            <w:pPr>
              <w:pStyle w:val="Odstavekseznama"/>
              <w:numPr>
                <w:ilvl w:val="0"/>
                <w:numId w:val="18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Assessing who are the important other support </w:t>
            </w: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options</w:t>
            </w:r>
            <w:proofErr w:type="gramEnd"/>
          </w:p>
          <w:p w:rsidRPr="00385271" w:rsidR="00D96838" w:rsidP="00156DBF" w:rsidRDefault="00D96838" w14:paraId="7591F74B" w14:textId="49337304">
            <w:pPr>
              <w:pStyle w:val="Odstavekseznama"/>
              <w:numPr>
                <w:ilvl w:val="0"/>
                <w:numId w:val="18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Family caregiving</w:t>
            </w:r>
          </w:p>
          <w:p w:rsidRPr="00385271" w:rsidR="00D96838" w:rsidP="00156DBF" w:rsidRDefault="00D96838" w14:paraId="7BC8F17A" w14:textId="3089FEB8">
            <w:pPr>
              <w:pStyle w:val="Odstavekseznama"/>
              <w:numPr>
                <w:ilvl w:val="0"/>
                <w:numId w:val="18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Role of the family members</w:t>
            </w:r>
          </w:p>
          <w:p w:rsidRPr="00385271" w:rsidR="00D96838" w:rsidP="00156DBF" w:rsidRDefault="00D96838" w14:paraId="66E4D1A0" w14:textId="38FDB8E7">
            <w:pPr>
              <w:pStyle w:val="Odstavekseznama"/>
              <w:numPr>
                <w:ilvl w:val="0"/>
                <w:numId w:val="18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Care shifting from family to public and private </w:t>
            </w: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facilities</w:t>
            </w:r>
            <w:proofErr w:type="gramEnd"/>
          </w:p>
          <w:p w:rsidRPr="00385271" w:rsidR="00EE5022" w:rsidP="00156DBF" w:rsidRDefault="00D96838" w14:paraId="1D148AB6" w14:textId="74D15633">
            <w:pPr>
              <w:pStyle w:val="Odstavekseznama"/>
              <w:numPr>
                <w:ilvl w:val="0"/>
                <w:numId w:val="18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Government and </w:t>
            </w:r>
            <w:r w:rsidRPr="00385271" w:rsidR="00221A6D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non-government support options (NGOs)</w:t>
            </w:r>
          </w:p>
        </w:tc>
        <w:tc>
          <w:tcPr>
            <w:tcW w:w="1867" w:type="dxa"/>
          </w:tcPr>
          <w:p w:rsidRPr="00385271" w:rsidR="00EE5022" w:rsidP="00156DBF" w:rsidRDefault="008B732A" w14:paraId="0CED76B4" w14:textId="51285486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</w:t>
            </w:r>
            <w:r w:rsidRPr="00385271" w:rsidR="008A4019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h </w:t>
            </w:r>
            <w:r w:rsidRPr="00385271" w:rsidR="5F3624DB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(L</w:t>
            </w:r>
            <w:r w:rsidRPr="00385271" w:rsidR="008A4019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385271" w:rsidR="5F3624DB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:rsidRPr="00385271" w:rsidR="00EE5022" w:rsidP="00156DBF" w:rsidRDefault="5F3624DB" w14:paraId="3479A90A" w14:textId="77777777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</w:t>
            </w:r>
            <w:r w:rsidRPr="00385271" w:rsidR="008A4019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h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</w:t>
            </w:r>
            <w:r w:rsidRPr="00385271" w:rsidR="008A4019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Case studies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:rsidRPr="00385271" w:rsidR="00790B56" w:rsidP="00156DBF" w:rsidRDefault="00790B56" w14:paraId="381A1E4B" w14:textId="3A56C118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4.5h (Independent learning)</w:t>
            </w:r>
          </w:p>
        </w:tc>
        <w:tc>
          <w:tcPr>
            <w:tcW w:w="1906" w:type="dxa"/>
          </w:tcPr>
          <w:p w:rsidRPr="00385271" w:rsidR="001B5B11" w:rsidP="00156DBF" w:rsidRDefault="001B5B11" w14:paraId="389B7F5C" w14:textId="77777777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:rsidRPr="00385271" w:rsidR="001B5B11" w:rsidP="00156DBF" w:rsidRDefault="001B5B11" w14:paraId="659C635C" w14:textId="3B9C9BE9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Facilitated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discussion</w:t>
            </w:r>
            <w:proofErr w:type="gramEnd"/>
          </w:p>
          <w:p w:rsidRPr="00385271" w:rsidR="00EE5022" w:rsidP="00156DBF" w:rsidRDefault="001B5B11" w14:paraId="5D08E33C" w14:textId="4071B793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Independent study </w:t>
            </w:r>
          </w:p>
        </w:tc>
        <w:tc>
          <w:tcPr>
            <w:tcW w:w="1890" w:type="dxa"/>
          </w:tcPr>
          <w:p w:rsidRPr="00385271" w:rsidR="00EE5022" w:rsidP="00156DBF" w:rsidRDefault="001B5B11" w14:paraId="39025348" w14:textId="10F1CD85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Final exam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(some questions, together with other lectures 80% of the final module grade)</w:t>
            </w:r>
          </w:p>
        </w:tc>
      </w:tr>
      <w:tr w:rsidRPr="00385271" w:rsidR="000560B6" w:rsidTr="00B95399" w14:paraId="3130A655" w14:textId="77777777">
        <w:trPr>
          <w:trHeight w:val="888"/>
        </w:trPr>
        <w:tc>
          <w:tcPr>
            <w:tcW w:w="2978" w:type="dxa"/>
            <w:shd w:val="clear" w:color="auto" w:fill="F2F2F2" w:themeFill="background1" w:themeFillShade="F2"/>
          </w:tcPr>
          <w:p w:rsidRPr="00156DBF" w:rsidR="00EE5022" w:rsidP="00156DBF" w:rsidRDefault="008A4019" w14:paraId="093D070E" w14:textId="368DD081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right="20"/>
              <w:jc w:val="both"/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A s</w:t>
            </w:r>
            <w:r w:rsidRPr="00156DBF" w:rsidR="00EE5022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timulating environment</w:t>
            </w:r>
          </w:p>
          <w:p w:rsidRPr="00385271" w:rsidR="00EE5022" w:rsidP="008A4019" w:rsidRDefault="00EE5022" w14:paraId="433E0755" w14:textId="408A3D5B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Pr="00385271" w:rsidR="00E465E2" w:rsidP="00156DBF" w:rsidRDefault="00221A6D" w14:paraId="0098290C" w14:textId="7EC29C97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</w:t>
            </w:r>
            <w:r w:rsidRPr="00385271" w:rsidR="00E465E2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escribe the essential components of a stimulating environment for an individual with </w:t>
            </w:r>
            <w:proofErr w:type="gramStart"/>
            <w:r w:rsidRPr="00385271" w:rsidR="00E465E2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ND</w:t>
            </w:r>
            <w:proofErr w:type="gramEnd"/>
          </w:p>
          <w:p w:rsidRPr="00385271" w:rsidR="00E465E2" w:rsidP="00156DBF" w:rsidRDefault="00E465E2" w14:paraId="686B69EE" w14:textId="77777777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2.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ab/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identify non-pharmacological approaches on caring for individuals with ND</w:t>
            </w:r>
          </w:p>
          <w:p w:rsidRPr="00385271" w:rsidR="00EE5022" w:rsidP="00156DBF" w:rsidRDefault="00E465E2" w14:paraId="3DAC2C82" w14:textId="7BCBAE9E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3.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ab/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describe strategies on prevention of social isolation of individuals with NDs</w:t>
            </w:r>
          </w:p>
        </w:tc>
        <w:tc>
          <w:tcPr>
            <w:tcW w:w="3551" w:type="dxa"/>
            <w:shd w:val="clear" w:color="auto" w:fill="F2F2F2" w:themeFill="background1" w:themeFillShade="F2"/>
          </w:tcPr>
          <w:p w:rsidRPr="00385271" w:rsidR="00221A6D" w:rsidP="00156DBF" w:rsidRDefault="00221A6D" w14:paraId="6C2B62BF" w14:textId="368BD28A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Introducing the concept of a stimulating environment for quality of living for person with </w:t>
            </w: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a</w:t>
            </w:r>
            <w:proofErr w:type="gramEnd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NDD</w:t>
            </w:r>
          </w:p>
          <w:p w:rsidRPr="00385271" w:rsidR="00221A6D" w:rsidP="00156DBF" w:rsidRDefault="00221A6D" w14:paraId="7BBC2FF7" w14:textId="77777777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Planning a stimulating environment (indoor and outdoor)</w:t>
            </w:r>
          </w:p>
          <w:p w:rsidRPr="00385271" w:rsidR="00221A6D" w:rsidP="00156DBF" w:rsidRDefault="00221A6D" w14:paraId="59E9C311" w14:textId="77777777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Spatial adjustments - security and active life</w:t>
            </w:r>
          </w:p>
          <w:p w:rsidRPr="00385271" w:rsidR="00221A6D" w:rsidP="00156DBF" w:rsidRDefault="00221A6D" w14:paraId="5D10B263" w14:textId="64FB2932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Non-pharmacological approaches (gardening, dancing, music, art, yoga, physical activities…)</w:t>
            </w:r>
          </w:p>
          <w:p w:rsidRPr="00385271" w:rsidR="00221A6D" w:rsidP="00156DBF" w:rsidRDefault="00221A6D" w14:paraId="6D64E825" w14:textId="77777777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Use of ICT devices</w:t>
            </w:r>
          </w:p>
          <w:p w:rsidRPr="00385271" w:rsidR="00221A6D" w:rsidP="00156DBF" w:rsidRDefault="00221A6D" w14:paraId="46947FFF" w14:textId="77777777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Preventing social isolation</w:t>
            </w:r>
          </w:p>
          <w:p w:rsidRPr="00385271" w:rsidR="00EE5022" w:rsidP="00156DBF" w:rsidRDefault="00221A6D" w14:paraId="11345A5C" w14:textId="6F144881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Introduction to animal-assisted interventions</w:t>
            </w:r>
          </w:p>
        </w:tc>
        <w:tc>
          <w:tcPr>
            <w:tcW w:w="1867" w:type="dxa"/>
          </w:tcPr>
          <w:p w:rsidRPr="00385271" w:rsidR="00EE5022" w:rsidP="00156DBF" w:rsidRDefault="5F3624DB" w14:paraId="013F6780" w14:textId="4A773F4D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</w:t>
            </w:r>
            <w:r w:rsidRPr="00385271" w:rsidR="00EC5E7A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h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(L</w:t>
            </w:r>
            <w:r w:rsidRPr="00385271" w:rsidR="00EC5E7A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:rsidRPr="00385271" w:rsidR="00EE5022" w:rsidP="00156DBF" w:rsidRDefault="00EC5E7A" w14:paraId="71597B55" w14:textId="77777777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1h (Case studies</w:t>
            </w:r>
            <w:r w:rsidRPr="00385271" w:rsidR="5F3624DB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:rsidRPr="00385271" w:rsidR="00790B56" w:rsidP="00156DBF" w:rsidRDefault="00790B56" w14:paraId="207B3AD0" w14:textId="10DD729A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4.5h (Independent learning)</w:t>
            </w:r>
          </w:p>
        </w:tc>
        <w:tc>
          <w:tcPr>
            <w:tcW w:w="1906" w:type="dxa"/>
          </w:tcPr>
          <w:p w:rsidRPr="00385271" w:rsidR="00790B56" w:rsidP="00156DBF" w:rsidRDefault="00790B56" w14:paraId="28C44CC0" w14:textId="77777777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:rsidRPr="00385271" w:rsidR="00BD60B9" w:rsidP="00156DBF" w:rsidRDefault="00790B56" w14:paraId="09A5E54E" w14:textId="77777777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Facilitated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discussion</w:t>
            </w:r>
            <w:proofErr w:type="gramEnd"/>
          </w:p>
          <w:p w:rsidRPr="00385271" w:rsidR="00EE5022" w:rsidP="00156DBF" w:rsidRDefault="00790B56" w14:paraId="328C0AAA" w14:textId="3C5A9C28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Independent study </w:t>
            </w:r>
          </w:p>
        </w:tc>
        <w:tc>
          <w:tcPr>
            <w:tcW w:w="1890" w:type="dxa"/>
          </w:tcPr>
          <w:p w:rsidRPr="00385271" w:rsidR="00790B56" w:rsidP="00156DBF" w:rsidRDefault="00790B56" w14:paraId="68F2A1A3" w14:textId="77777777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Homework assignment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(5% of the final module grade)</w:t>
            </w:r>
          </w:p>
          <w:p w:rsidRPr="00385271" w:rsidR="00EE5022" w:rsidP="00156DBF" w:rsidRDefault="00BD5B9A" w14:paraId="4181F213" w14:textId="52E81DE1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Final exam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(some questions, together with other lectures 80% of the final module grade)</w:t>
            </w:r>
          </w:p>
        </w:tc>
      </w:tr>
      <w:tr w:rsidRPr="00385271" w:rsidR="000560B6" w:rsidTr="00B95399" w14:paraId="35227D89" w14:textId="77777777">
        <w:trPr>
          <w:trHeight w:val="888"/>
        </w:trPr>
        <w:tc>
          <w:tcPr>
            <w:tcW w:w="2978" w:type="dxa"/>
          </w:tcPr>
          <w:p w:rsidRPr="00156DBF" w:rsidR="00EE5022" w:rsidP="00156DBF" w:rsidRDefault="00BD60B9" w14:paraId="43DE0119" w14:textId="46A1997D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right="20"/>
              <w:jc w:val="both"/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Palliative care in ND</w:t>
            </w:r>
            <w:r w:rsidRPr="00156DBF" w:rsidR="00EE5022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  <w:p w:rsidRPr="00385271" w:rsidR="00EE5022" w:rsidP="00BD60B9" w:rsidRDefault="00EE5022" w14:paraId="652C2D06" w14:textId="61564BAA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Pr="00385271" w:rsidR="00BD60B9" w:rsidP="00156DBF" w:rsidRDefault="00BD60B9" w14:paraId="477F4A6D" w14:textId="4A32F16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Define the key terms ‘palliative care’, ‘end-of-life care’ and ‘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hospice’</w:t>
            </w:r>
            <w:proofErr w:type="gramEnd"/>
          </w:p>
          <w:p w:rsidRPr="00385271" w:rsidR="00BD60B9" w:rsidP="00156DBF" w:rsidRDefault="00BD60B9" w14:paraId="79570299" w14:textId="2C4E7E3D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Describe the ethical and legal aspects of end-of-life care/palliative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care</w:t>
            </w:r>
            <w:proofErr w:type="gramEnd"/>
          </w:p>
          <w:p w:rsidRPr="00385271" w:rsidR="00BD60B9" w:rsidP="00156DBF" w:rsidRDefault="00BD60B9" w14:paraId="1A0BA0F8" w14:textId="73DB0BE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Identify the role of the care giver in end-of-life care/palliative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care</w:t>
            </w:r>
            <w:proofErr w:type="gramEnd"/>
          </w:p>
          <w:p w:rsidRPr="00385271" w:rsidR="00EE5022" w:rsidP="00156DBF" w:rsidRDefault="00BD60B9" w14:paraId="6AC83ABC" w14:textId="488305F1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Recognize and address the main issue in palliative care from the perspective of medicine, patient and caregivers</w:t>
            </w:r>
          </w:p>
        </w:tc>
        <w:tc>
          <w:tcPr>
            <w:tcW w:w="3551" w:type="dxa"/>
          </w:tcPr>
          <w:p w:rsidRPr="00385271" w:rsidR="00D60249" w:rsidP="00156DBF" w:rsidRDefault="00D60249" w14:paraId="7E32C9A8" w14:textId="774A155A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Definition of terms palliative care, end-of-life care and hospice</w:t>
            </w:r>
          </w:p>
          <w:p w:rsidRPr="00385271" w:rsidR="00D60249" w:rsidP="00156DBF" w:rsidRDefault="00D60249" w14:paraId="23CC6010" w14:textId="67EA71FC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What can</w:t>
            </w:r>
            <w:r w:rsidRPr="00385271" w:rsidR="00BD60B9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be done</w:t>
            </w: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in </w:t>
            </w:r>
            <w:r w:rsidRPr="00385271" w:rsidR="00BD60B9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the late</w:t>
            </w: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stages of </w:t>
            </w:r>
            <w:r w:rsidRPr="00385271" w:rsidR="00BD60B9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a </w:t>
            </w:r>
            <w:proofErr w:type="gramStart"/>
            <w:r w:rsidRPr="00385271" w:rsidR="00BD60B9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NDD</w:t>
            </w:r>
            <w:proofErr w:type="gramEnd"/>
          </w:p>
          <w:p w:rsidRPr="00385271" w:rsidR="00D60249" w:rsidP="00156DBF" w:rsidRDefault="00D60249" w14:paraId="728E1E00" w14:textId="2EB7D1E0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Palliative care in ND (why is it so special for degenerative diseases - non communicative diseases)</w:t>
            </w:r>
          </w:p>
          <w:p w:rsidRPr="00385271" w:rsidR="00D60249" w:rsidP="00156DBF" w:rsidRDefault="00D60249" w14:paraId="1B559867" w14:textId="309C7CDB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Assisting with daily living</w:t>
            </w:r>
          </w:p>
          <w:p w:rsidRPr="00385271" w:rsidR="00D60249" w:rsidP="00156DBF" w:rsidRDefault="00D60249" w14:paraId="69BA3D38" w14:textId="74ABA811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Palliative care in home environment, help for </w:t>
            </w:r>
            <w:proofErr w:type="gramStart"/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relatives</w:t>
            </w:r>
            <w:proofErr w:type="gramEnd"/>
          </w:p>
          <w:p w:rsidRPr="00385271" w:rsidR="00D60249" w:rsidP="00156DBF" w:rsidRDefault="00D60249" w14:paraId="3DC46D67" w14:textId="27ED12E2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Ethical - living will, </w:t>
            </w:r>
            <w:r w:rsidRPr="00385271" w:rsidR="00BD60B9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Euthanasia</w:t>
            </w: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(discussions)</w:t>
            </w:r>
          </w:p>
          <w:p w:rsidRPr="00385271" w:rsidR="00D60249" w:rsidP="00156DBF" w:rsidRDefault="00D60249" w14:paraId="33A5D4EC" w14:textId="5A69ACE3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Religion/prayers/chanting</w:t>
            </w:r>
          </w:p>
          <w:p w:rsidRPr="00385271" w:rsidR="00D60249" w:rsidP="00156DBF" w:rsidRDefault="00D60249" w14:paraId="7BE626AA" w14:textId="523BBD55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Easing lives of patients as well of care givers</w:t>
            </w:r>
          </w:p>
          <w:p w:rsidRPr="00385271" w:rsidR="00EE5022" w:rsidP="00156DBF" w:rsidRDefault="00D60249" w14:paraId="1E822C4B" w14:textId="3BB99764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eastAsia="Times New Roman" w:cs="Times New Roman"/>
                <w:color w:val="000000" w:themeColor="text1"/>
                <w:sz w:val="24"/>
                <w:szCs w:val="24"/>
                <w:lang w:eastAsia="sl-SI"/>
              </w:rPr>
              <w:t>Recognizing the pain</w:t>
            </w:r>
          </w:p>
        </w:tc>
        <w:tc>
          <w:tcPr>
            <w:tcW w:w="1867" w:type="dxa"/>
          </w:tcPr>
          <w:p w:rsidRPr="00385271" w:rsidR="00EE5022" w:rsidP="00156DBF" w:rsidRDefault="5F3624DB" w14:paraId="04C1F482" w14:textId="4CFA20D2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1(L</w:t>
            </w:r>
            <w:r w:rsidRPr="00385271" w:rsidR="00BD60B9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:rsidRPr="00385271" w:rsidR="00EE5022" w:rsidP="00156DBF" w:rsidRDefault="00BD60B9" w14:paraId="0B0D3BE3" w14:textId="77777777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1(Case studies</w:t>
            </w:r>
            <w:r w:rsidRPr="00385271" w:rsidR="5F3624DB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:rsidRPr="00385271" w:rsidR="00BD60B9" w:rsidP="00156DBF" w:rsidRDefault="00BD60B9" w14:paraId="02EA059A" w14:textId="15BF278B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2.5h (Independent learning)</w:t>
            </w:r>
          </w:p>
        </w:tc>
        <w:tc>
          <w:tcPr>
            <w:tcW w:w="1906" w:type="dxa"/>
          </w:tcPr>
          <w:p w:rsidRPr="00385271" w:rsidR="00BD60B9" w:rsidP="00156DBF" w:rsidRDefault="00BD60B9" w14:paraId="5D4C8070" w14:textId="77777777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:rsidRPr="00385271" w:rsidR="00BD60B9" w:rsidP="00156DBF" w:rsidRDefault="00BD60B9" w14:paraId="302685CA" w14:textId="77777777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Facilitated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discussion</w:t>
            </w:r>
            <w:proofErr w:type="gramEnd"/>
          </w:p>
          <w:p w:rsidRPr="00385271" w:rsidR="00EE5022" w:rsidP="00156DBF" w:rsidRDefault="00BD60B9" w14:paraId="66E59BF1" w14:textId="50E7552C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Independent study </w:t>
            </w:r>
          </w:p>
        </w:tc>
        <w:tc>
          <w:tcPr>
            <w:tcW w:w="1890" w:type="dxa"/>
          </w:tcPr>
          <w:p w:rsidRPr="00385271" w:rsidR="00EE5022" w:rsidP="00156DBF" w:rsidRDefault="00BD60B9" w14:paraId="119C52D5" w14:textId="3EBCDB84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Final exam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(some questions, together with other lectures 80% of the final module grade)</w:t>
            </w:r>
          </w:p>
        </w:tc>
      </w:tr>
    </w:tbl>
    <w:p w:rsidRPr="00385271" w:rsidR="00E1537C" w:rsidP="00C64D4F" w:rsidRDefault="00E1537C" w14:paraId="36D075C9" w14:textId="77777777">
      <w:pPr>
        <w:jc w:val="both"/>
        <w:rPr>
          <w:rFonts w:ascii="Garamond" w:hAnsi="Garamond" w:cs="Times New Roman"/>
          <w:sz w:val="24"/>
          <w:szCs w:val="24"/>
        </w:rPr>
      </w:pPr>
    </w:p>
    <w:p w:rsidRPr="00385271" w:rsidR="005029F5" w:rsidP="00C64D4F" w:rsidRDefault="005029F5" w14:paraId="2743488C" w14:textId="77777777">
      <w:pPr>
        <w:jc w:val="both"/>
        <w:rPr>
          <w:rFonts w:ascii="Garamond" w:hAnsi="Garamond" w:cs="Times New Roman"/>
          <w:sz w:val="24"/>
          <w:szCs w:val="24"/>
        </w:rPr>
      </w:pPr>
    </w:p>
    <w:p w:rsidRPr="00385271" w:rsidR="005029F5" w:rsidP="00C64D4F" w:rsidRDefault="005029F5" w14:paraId="31500E72" w14:textId="77777777">
      <w:pPr>
        <w:jc w:val="both"/>
        <w:rPr>
          <w:rFonts w:ascii="Garamond" w:hAnsi="Garamond" w:cs="Times New Roman"/>
          <w:sz w:val="24"/>
          <w:szCs w:val="24"/>
        </w:rPr>
      </w:pPr>
    </w:p>
    <w:p w:rsidRPr="00385271" w:rsidR="005029F5" w:rsidP="00C64D4F" w:rsidRDefault="005029F5" w14:paraId="28E0F476" w14:textId="77777777">
      <w:pPr>
        <w:jc w:val="both"/>
        <w:rPr>
          <w:rFonts w:ascii="Garamond" w:hAnsi="Garamond" w:cs="Times New Roman"/>
          <w:sz w:val="24"/>
          <w:szCs w:val="24"/>
        </w:rPr>
      </w:pPr>
    </w:p>
    <w:sectPr w:rsidRPr="00385271" w:rsidR="005029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27D0" w:rsidRDefault="00F827D0" w14:paraId="52DBDD76" w14:textId="77777777">
      <w:pPr>
        <w:spacing w:line="240" w:lineRule="auto"/>
      </w:pPr>
      <w:r>
        <w:separator/>
      </w:r>
    </w:p>
  </w:endnote>
  <w:endnote w:type="continuationSeparator" w:id="0">
    <w:p w:rsidR="00F827D0" w:rsidRDefault="00F827D0" w14:paraId="405008E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AD9" w:rsidRDefault="00314AD9" w14:paraId="535F4385" w14:textId="777777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AD9" w:rsidRDefault="00314AD9" w14:paraId="1CCE1D9C" w14:textId="7777777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AD9" w:rsidRDefault="00314AD9" w14:paraId="5555D269" w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27D0" w:rsidRDefault="00F827D0" w14:paraId="139BB2D2" w14:textId="77777777">
      <w:pPr>
        <w:spacing w:after="0"/>
      </w:pPr>
      <w:r>
        <w:separator/>
      </w:r>
    </w:p>
  </w:footnote>
  <w:footnote w:type="continuationSeparator" w:id="0">
    <w:p w:rsidR="00F827D0" w:rsidRDefault="00F827D0" w14:paraId="2CC2431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AD9" w:rsidRDefault="00314AD9" w14:paraId="7A8DA514" w14:textId="777777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AD9" w:rsidRDefault="00314AD9" w14:paraId="33EA5EB5" w14:textId="7777777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AD9" w:rsidRDefault="00314AD9" w14:paraId="3EAB693E" w14:textId="777777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85C"/>
    <w:multiLevelType w:val="hybridMultilevel"/>
    <w:tmpl w:val="B5FAC7B6"/>
    <w:lvl w:ilvl="0" w:tplc="242023E4">
      <w:numFmt w:val="bullet"/>
      <w:lvlText w:val="•"/>
      <w:lvlJc w:val="left"/>
      <w:pPr>
        <w:ind w:left="180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A2602ED"/>
    <w:multiLevelType w:val="hybridMultilevel"/>
    <w:tmpl w:val="D68EAF62"/>
    <w:lvl w:ilvl="0" w:tplc="04240001">
      <w:start w:val="1"/>
      <w:numFmt w:val="bullet"/>
      <w:lvlText w:val=""/>
      <w:lvlJc w:val="left"/>
      <w:pPr>
        <w:ind w:left="767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87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207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927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47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67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87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807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527" w:hanging="360"/>
      </w:pPr>
      <w:rPr>
        <w:rFonts w:hint="default" w:ascii="Wingdings" w:hAnsi="Wingdings"/>
      </w:rPr>
    </w:lvl>
  </w:abstractNum>
  <w:abstractNum w:abstractNumId="2" w15:restartNumberingAfterBreak="0">
    <w:nsid w:val="0B7E2357"/>
    <w:multiLevelType w:val="multilevel"/>
    <w:tmpl w:val="FB96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165D4C"/>
    <w:multiLevelType w:val="multilevel"/>
    <w:tmpl w:val="FB96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3B837B2"/>
    <w:multiLevelType w:val="hybridMultilevel"/>
    <w:tmpl w:val="AF2CB9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D2CA7"/>
    <w:multiLevelType w:val="hybridMultilevel"/>
    <w:tmpl w:val="9AFC44CC"/>
    <w:lvl w:ilvl="0" w:tplc="E3DAC800">
      <w:start w:val="1"/>
      <w:numFmt w:val="upperRoman"/>
      <w:lvlText w:val="%1."/>
      <w:lvlJc w:val="left"/>
      <w:pPr>
        <w:ind w:left="1080" w:hanging="720"/>
      </w:pPr>
      <w:rPr>
        <w:rFonts w:hint="default" w:eastAsiaTheme="minorHAnsi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86743"/>
    <w:multiLevelType w:val="hybridMultilevel"/>
    <w:tmpl w:val="6F5EF870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83EB9"/>
    <w:multiLevelType w:val="hybridMultilevel"/>
    <w:tmpl w:val="E9E20B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F676C"/>
    <w:multiLevelType w:val="hybridMultilevel"/>
    <w:tmpl w:val="AA3E9126"/>
    <w:lvl w:ilvl="0" w:tplc="0424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A778FD"/>
    <w:multiLevelType w:val="hybridMultilevel"/>
    <w:tmpl w:val="59BA8C7C"/>
    <w:lvl w:ilvl="0" w:tplc="0424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C35E44"/>
    <w:multiLevelType w:val="hybridMultilevel"/>
    <w:tmpl w:val="2FBCA180"/>
    <w:lvl w:ilvl="0" w:tplc="242023E4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5209D9"/>
    <w:multiLevelType w:val="multilevel"/>
    <w:tmpl w:val="FB96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E6F0EED"/>
    <w:multiLevelType w:val="hybridMultilevel"/>
    <w:tmpl w:val="B1745D46"/>
    <w:lvl w:ilvl="0" w:tplc="242023E4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42023E4">
      <w:numFmt w:val="bullet"/>
      <w:lvlText w:val="•"/>
      <w:lvlJc w:val="left"/>
      <w:pPr>
        <w:ind w:left="1440" w:hanging="360"/>
      </w:pPr>
      <w:rPr>
        <w:rFonts w:hint="default" w:ascii="Arial" w:hAnsi="Arial"/>
      </w:rPr>
    </w:lvl>
    <w:lvl w:ilvl="2" w:tplc="4BDA43FE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hint="default" w:ascii="Calibri" w:hAnsi="Calibri"/>
      </w:rPr>
    </w:lvl>
    <w:lvl w:ilvl="3" w:tplc="D49AB19C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hint="default" w:ascii="Calibri" w:hAnsi="Calibri"/>
      </w:rPr>
    </w:lvl>
    <w:lvl w:ilvl="4" w:tplc="2BACCE4C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hint="default" w:ascii="Calibri" w:hAnsi="Calibri"/>
      </w:rPr>
    </w:lvl>
    <w:lvl w:ilvl="5" w:tplc="E3B64522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hint="default" w:ascii="Calibri" w:hAnsi="Calibri"/>
      </w:rPr>
    </w:lvl>
    <w:lvl w:ilvl="6" w:tplc="77BE4A76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hint="default" w:ascii="Calibri" w:hAnsi="Calibri"/>
      </w:rPr>
    </w:lvl>
    <w:lvl w:ilvl="7" w:tplc="1988F030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hint="default" w:ascii="Calibri" w:hAnsi="Calibri"/>
      </w:rPr>
    </w:lvl>
    <w:lvl w:ilvl="8" w:tplc="F91AF01A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hint="default" w:ascii="Calibri" w:hAnsi="Calibri"/>
      </w:rPr>
    </w:lvl>
  </w:abstractNum>
  <w:abstractNum w:abstractNumId="13" w15:restartNumberingAfterBreak="0">
    <w:nsid w:val="317817AF"/>
    <w:multiLevelType w:val="hybridMultilevel"/>
    <w:tmpl w:val="B2D2D0BE"/>
    <w:lvl w:ilvl="0" w:tplc="242023E4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D80C43"/>
    <w:multiLevelType w:val="hybridMultilevel"/>
    <w:tmpl w:val="DA883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D35C3"/>
    <w:multiLevelType w:val="hybridMultilevel"/>
    <w:tmpl w:val="76AE977C"/>
    <w:lvl w:ilvl="0" w:tplc="242023E4">
      <w:numFmt w:val="bullet"/>
      <w:lvlText w:val="•"/>
      <w:lvlJc w:val="left"/>
      <w:pPr>
        <w:ind w:left="1440" w:hanging="360"/>
      </w:pPr>
      <w:rPr>
        <w:rFonts w:hint="default" w:ascii="Arial" w:hAnsi="Arial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7156CE5"/>
    <w:multiLevelType w:val="hybridMultilevel"/>
    <w:tmpl w:val="2C726C94"/>
    <w:lvl w:ilvl="0" w:tplc="7076F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94A40"/>
    <w:multiLevelType w:val="hybridMultilevel"/>
    <w:tmpl w:val="DFFC4080"/>
    <w:lvl w:ilvl="0" w:tplc="242023E4"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C8163F1"/>
    <w:multiLevelType w:val="hybridMultilevel"/>
    <w:tmpl w:val="B480455E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E8A656C"/>
    <w:multiLevelType w:val="hybridMultilevel"/>
    <w:tmpl w:val="4A38A8B2"/>
    <w:lvl w:ilvl="0" w:tplc="0FE64D84">
      <w:start w:val="3"/>
      <w:numFmt w:val="bullet"/>
      <w:lvlText w:val="-"/>
      <w:lvlJc w:val="left"/>
      <w:pPr>
        <w:ind w:left="1800" w:hanging="360"/>
      </w:pPr>
      <w:rPr>
        <w:rFonts w:hint="default" w:ascii="Garamond" w:hAnsi="Garamond" w:eastAsiaTheme="minorHAnsi" w:cstheme="minorBidi"/>
        <w:sz w:val="26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47107F34"/>
    <w:multiLevelType w:val="hybridMultilevel"/>
    <w:tmpl w:val="AC943082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4738FC"/>
    <w:multiLevelType w:val="hybridMultilevel"/>
    <w:tmpl w:val="D320EE16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BF71A49"/>
    <w:multiLevelType w:val="hybridMultilevel"/>
    <w:tmpl w:val="59743C30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D032AA4"/>
    <w:multiLevelType w:val="hybridMultilevel"/>
    <w:tmpl w:val="AEB6E860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250265"/>
    <w:multiLevelType w:val="hybridMultilevel"/>
    <w:tmpl w:val="F9AE1D2C"/>
    <w:lvl w:ilvl="0" w:tplc="242023E4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8E357E"/>
    <w:multiLevelType w:val="hybridMultilevel"/>
    <w:tmpl w:val="DCF676E8"/>
    <w:lvl w:ilvl="0" w:tplc="242023E4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0C61C2"/>
    <w:multiLevelType w:val="hybridMultilevel"/>
    <w:tmpl w:val="7E225EAC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2BC4399"/>
    <w:multiLevelType w:val="hybridMultilevel"/>
    <w:tmpl w:val="6C88F592"/>
    <w:lvl w:ilvl="0" w:tplc="242023E4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2DC770A"/>
    <w:multiLevelType w:val="hybridMultilevel"/>
    <w:tmpl w:val="CBC03970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3E94E39"/>
    <w:multiLevelType w:val="hybridMultilevel"/>
    <w:tmpl w:val="547C9B30"/>
    <w:lvl w:ilvl="0" w:tplc="042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sz w:val="26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0" w15:restartNumberingAfterBreak="0">
    <w:nsid w:val="56CB6FDF"/>
    <w:multiLevelType w:val="hybridMultilevel"/>
    <w:tmpl w:val="F6A0DC96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AF410E0"/>
    <w:multiLevelType w:val="hybridMultilevel"/>
    <w:tmpl w:val="2C726C94"/>
    <w:lvl w:ilvl="0" w:tplc="7076F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E49E5"/>
    <w:multiLevelType w:val="hybridMultilevel"/>
    <w:tmpl w:val="3A0434C8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F0D4C24"/>
    <w:multiLevelType w:val="hybridMultilevel"/>
    <w:tmpl w:val="933851CE"/>
    <w:lvl w:ilvl="0" w:tplc="242023E4">
      <w:numFmt w:val="bullet"/>
      <w:lvlText w:val="•"/>
      <w:lvlJc w:val="left"/>
      <w:pPr>
        <w:ind w:left="1080" w:hanging="360"/>
      </w:pPr>
      <w:rPr>
        <w:rFonts w:hint="default" w:ascii="Arial" w:hAnsi="Arial"/>
        <w:sz w:val="2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5FE47DD0"/>
    <w:multiLevelType w:val="hybridMultilevel"/>
    <w:tmpl w:val="6F0CA714"/>
    <w:lvl w:ilvl="0" w:tplc="242023E4">
      <w:numFmt w:val="bullet"/>
      <w:lvlText w:val="•"/>
      <w:lvlJc w:val="left"/>
      <w:pPr>
        <w:ind w:left="1080" w:hanging="360"/>
      </w:pPr>
      <w:rPr>
        <w:rFonts w:hint="default" w:ascii="Arial" w:hAnsi="Arial"/>
        <w:sz w:val="2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60E27AD6"/>
    <w:multiLevelType w:val="hybridMultilevel"/>
    <w:tmpl w:val="8C6ECA14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1B5036"/>
    <w:multiLevelType w:val="hybridMultilevel"/>
    <w:tmpl w:val="DA883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DCF"/>
    <w:multiLevelType w:val="hybridMultilevel"/>
    <w:tmpl w:val="C3A0659A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60D3DA3"/>
    <w:multiLevelType w:val="hybridMultilevel"/>
    <w:tmpl w:val="C37A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B04D64"/>
    <w:multiLevelType w:val="hybridMultilevel"/>
    <w:tmpl w:val="DA883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53ADF"/>
    <w:multiLevelType w:val="hybridMultilevel"/>
    <w:tmpl w:val="9C4A43D4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B7184"/>
    <w:multiLevelType w:val="multilevel"/>
    <w:tmpl w:val="FB96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6C7D552E"/>
    <w:multiLevelType w:val="hybridMultilevel"/>
    <w:tmpl w:val="DA883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4B08C1"/>
    <w:multiLevelType w:val="multilevel"/>
    <w:tmpl w:val="0D001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6FC77A04"/>
    <w:multiLevelType w:val="hybridMultilevel"/>
    <w:tmpl w:val="42F62858"/>
    <w:lvl w:ilvl="0" w:tplc="0424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012357D"/>
    <w:multiLevelType w:val="multilevel"/>
    <w:tmpl w:val="FB96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6817670"/>
    <w:multiLevelType w:val="hybridMultilevel"/>
    <w:tmpl w:val="591632F4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D253DA"/>
    <w:multiLevelType w:val="multilevel"/>
    <w:tmpl w:val="78D253DA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8D4366C"/>
    <w:multiLevelType w:val="hybridMultilevel"/>
    <w:tmpl w:val="2C726C94"/>
    <w:lvl w:ilvl="0" w:tplc="7076F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4477A1"/>
    <w:multiLevelType w:val="hybridMultilevel"/>
    <w:tmpl w:val="DA883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715869"/>
    <w:multiLevelType w:val="hybridMultilevel"/>
    <w:tmpl w:val="6CFEE5C2"/>
    <w:lvl w:ilvl="0" w:tplc="D65AE5C4">
      <w:numFmt w:val="bullet"/>
      <w:lvlText w:val="‒"/>
      <w:lvlJc w:val="left"/>
      <w:pPr>
        <w:ind w:left="360" w:hanging="360"/>
      </w:pPr>
      <w:rPr>
        <w:rFonts w:hint="default" w:ascii="Arial" w:hAnsi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422059"/>
    <w:multiLevelType w:val="hybridMultilevel"/>
    <w:tmpl w:val="9AFC3D80"/>
    <w:lvl w:ilvl="0" w:tplc="04240001">
      <w:start w:val="1"/>
      <w:numFmt w:val="bullet"/>
      <w:lvlText w:val=""/>
      <w:lvlJc w:val="left"/>
      <w:pPr>
        <w:ind w:left="1919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2639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3359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4079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799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519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6239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959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679" w:hanging="360"/>
      </w:pPr>
      <w:rPr>
        <w:rFonts w:hint="default" w:ascii="Wingdings" w:hAnsi="Wingdings"/>
      </w:rPr>
    </w:lvl>
  </w:abstractNum>
  <w:num w:numId="1" w16cid:durableId="858003274">
    <w:abstractNumId w:val="47"/>
  </w:num>
  <w:num w:numId="2" w16cid:durableId="1947888396">
    <w:abstractNumId w:val="11"/>
  </w:num>
  <w:num w:numId="3" w16cid:durableId="588076828">
    <w:abstractNumId w:val="36"/>
  </w:num>
  <w:num w:numId="4" w16cid:durableId="852570115">
    <w:abstractNumId w:val="7"/>
  </w:num>
  <w:num w:numId="5" w16cid:durableId="127403885">
    <w:abstractNumId w:val="38"/>
  </w:num>
  <w:num w:numId="6" w16cid:durableId="619726774">
    <w:abstractNumId w:val="26"/>
  </w:num>
  <w:num w:numId="7" w16cid:durableId="971057430">
    <w:abstractNumId w:val="5"/>
  </w:num>
  <w:num w:numId="8" w16cid:durableId="422144025">
    <w:abstractNumId w:val="1"/>
  </w:num>
  <w:num w:numId="9" w16cid:durableId="513765902">
    <w:abstractNumId w:val="4"/>
  </w:num>
  <w:num w:numId="10" w16cid:durableId="1869416562">
    <w:abstractNumId w:val="12"/>
  </w:num>
  <w:num w:numId="11" w16cid:durableId="964703283">
    <w:abstractNumId w:val="40"/>
  </w:num>
  <w:num w:numId="12" w16cid:durableId="2055540268">
    <w:abstractNumId w:val="51"/>
  </w:num>
  <w:num w:numId="13" w16cid:durableId="350886028">
    <w:abstractNumId w:val="48"/>
  </w:num>
  <w:num w:numId="14" w16cid:durableId="1062677330">
    <w:abstractNumId w:val="16"/>
  </w:num>
  <w:num w:numId="15" w16cid:durableId="175778182">
    <w:abstractNumId w:val="31"/>
  </w:num>
  <w:num w:numId="16" w16cid:durableId="637034742">
    <w:abstractNumId w:val="43"/>
  </w:num>
  <w:num w:numId="17" w16cid:durableId="1947224451">
    <w:abstractNumId w:val="41"/>
  </w:num>
  <w:num w:numId="18" w16cid:durableId="1686521227">
    <w:abstractNumId w:val="3"/>
  </w:num>
  <w:num w:numId="19" w16cid:durableId="29454161">
    <w:abstractNumId w:val="2"/>
  </w:num>
  <w:num w:numId="20" w16cid:durableId="715660355">
    <w:abstractNumId w:val="45"/>
  </w:num>
  <w:num w:numId="21" w16cid:durableId="396441818">
    <w:abstractNumId w:val="42"/>
  </w:num>
  <w:num w:numId="22" w16cid:durableId="424762900">
    <w:abstractNumId w:val="14"/>
  </w:num>
  <w:num w:numId="23" w16cid:durableId="1034042148">
    <w:abstractNumId w:val="49"/>
  </w:num>
  <w:num w:numId="24" w16cid:durableId="750812100">
    <w:abstractNumId w:val="39"/>
  </w:num>
  <w:num w:numId="25" w16cid:durableId="1994555307">
    <w:abstractNumId w:val="19"/>
  </w:num>
  <w:num w:numId="26" w16cid:durableId="617491586">
    <w:abstractNumId w:val="29"/>
  </w:num>
  <w:num w:numId="27" w16cid:durableId="982856615">
    <w:abstractNumId w:val="33"/>
  </w:num>
  <w:num w:numId="28" w16cid:durableId="2060013541">
    <w:abstractNumId w:val="34"/>
  </w:num>
  <w:num w:numId="29" w16cid:durableId="1060980368">
    <w:abstractNumId w:val="15"/>
  </w:num>
  <w:num w:numId="30" w16cid:durableId="1023021272">
    <w:abstractNumId w:val="44"/>
  </w:num>
  <w:num w:numId="31" w16cid:durableId="1540046836">
    <w:abstractNumId w:val="13"/>
  </w:num>
  <w:num w:numId="32" w16cid:durableId="477846991">
    <w:abstractNumId w:val="10"/>
  </w:num>
  <w:num w:numId="33" w16cid:durableId="152767049">
    <w:abstractNumId w:val="27"/>
  </w:num>
  <w:num w:numId="34" w16cid:durableId="1557273466">
    <w:abstractNumId w:val="25"/>
  </w:num>
  <w:num w:numId="35" w16cid:durableId="684861861">
    <w:abstractNumId w:val="24"/>
  </w:num>
  <w:num w:numId="36" w16cid:durableId="556210000">
    <w:abstractNumId w:val="0"/>
  </w:num>
  <w:num w:numId="37" w16cid:durableId="1290162354">
    <w:abstractNumId w:val="17"/>
  </w:num>
  <w:num w:numId="38" w16cid:durableId="498666557">
    <w:abstractNumId w:val="22"/>
  </w:num>
  <w:num w:numId="39" w16cid:durableId="1886796288">
    <w:abstractNumId w:val="18"/>
  </w:num>
  <w:num w:numId="40" w16cid:durableId="1977829494">
    <w:abstractNumId w:val="46"/>
  </w:num>
  <w:num w:numId="41" w16cid:durableId="943610594">
    <w:abstractNumId w:val="37"/>
  </w:num>
  <w:num w:numId="42" w16cid:durableId="2053143292">
    <w:abstractNumId w:val="30"/>
  </w:num>
  <w:num w:numId="43" w16cid:durableId="1009987494">
    <w:abstractNumId w:val="6"/>
  </w:num>
  <w:num w:numId="44" w16cid:durableId="1448425331">
    <w:abstractNumId w:val="21"/>
  </w:num>
  <w:num w:numId="45" w16cid:durableId="115223977">
    <w:abstractNumId w:val="28"/>
  </w:num>
  <w:num w:numId="46" w16cid:durableId="1964119816">
    <w:abstractNumId w:val="50"/>
  </w:num>
  <w:num w:numId="47" w16cid:durableId="86199082">
    <w:abstractNumId w:val="23"/>
  </w:num>
  <w:num w:numId="48" w16cid:durableId="1095443659">
    <w:abstractNumId w:val="35"/>
  </w:num>
  <w:num w:numId="49" w16cid:durableId="890389000">
    <w:abstractNumId w:val="32"/>
  </w:num>
  <w:num w:numId="50" w16cid:durableId="1002051460">
    <w:abstractNumId w:val="20"/>
  </w:num>
  <w:num w:numId="51" w16cid:durableId="1152062482">
    <w:abstractNumId w:val="8"/>
  </w:num>
  <w:num w:numId="52" w16cid:durableId="911236072">
    <w:abstractNumId w:val="9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OxMDczNzA1NDc0MjRV0lEKTi0uzszPAykwrgUAxTe4FywAAAA="/>
  </w:docVars>
  <w:rsids>
    <w:rsidRoot w:val="003F3C25"/>
    <w:rsid w:val="0000617F"/>
    <w:rsid w:val="0001309C"/>
    <w:rsid w:val="00025CD1"/>
    <w:rsid w:val="000560B6"/>
    <w:rsid w:val="00063658"/>
    <w:rsid w:val="00076584"/>
    <w:rsid w:val="0009719F"/>
    <w:rsid w:val="00097735"/>
    <w:rsid w:val="000A595B"/>
    <w:rsid w:val="000C1D1F"/>
    <w:rsid w:val="000D1711"/>
    <w:rsid w:val="000E424D"/>
    <w:rsid w:val="000F0FB7"/>
    <w:rsid w:val="001114FA"/>
    <w:rsid w:val="00121B51"/>
    <w:rsid w:val="00156DBF"/>
    <w:rsid w:val="00180CF3"/>
    <w:rsid w:val="00182860"/>
    <w:rsid w:val="0019276A"/>
    <w:rsid w:val="001A602B"/>
    <w:rsid w:val="001A6061"/>
    <w:rsid w:val="001B5B11"/>
    <w:rsid w:val="001C1E53"/>
    <w:rsid w:val="001C6AE8"/>
    <w:rsid w:val="001D2EA4"/>
    <w:rsid w:val="001F54BB"/>
    <w:rsid w:val="001F656C"/>
    <w:rsid w:val="00215A13"/>
    <w:rsid w:val="00221A6D"/>
    <w:rsid w:val="0023640A"/>
    <w:rsid w:val="00247F19"/>
    <w:rsid w:val="002700A0"/>
    <w:rsid w:val="002967B0"/>
    <w:rsid w:val="002A04B5"/>
    <w:rsid w:val="002A501A"/>
    <w:rsid w:val="002E6FF6"/>
    <w:rsid w:val="002F2D2B"/>
    <w:rsid w:val="003030F2"/>
    <w:rsid w:val="00314AD9"/>
    <w:rsid w:val="003439FD"/>
    <w:rsid w:val="00385271"/>
    <w:rsid w:val="00394C5A"/>
    <w:rsid w:val="003B2E96"/>
    <w:rsid w:val="003B51F4"/>
    <w:rsid w:val="003C00F3"/>
    <w:rsid w:val="003C13D6"/>
    <w:rsid w:val="003C2F1A"/>
    <w:rsid w:val="003E316A"/>
    <w:rsid w:val="003F270C"/>
    <w:rsid w:val="003F3C25"/>
    <w:rsid w:val="003F6DB2"/>
    <w:rsid w:val="00457322"/>
    <w:rsid w:val="004663A5"/>
    <w:rsid w:val="00471634"/>
    <w:rsid w:val="00475202"/>
    <w:rsid w:val="004B2DB2"/>
    <w:rsid w:val="004C6E62"/>
    <w:rsid w:val="004D014F"/>
    <w:rsid w:val="004E74EF"/>
    <w:rsid w:val="004F0EED"/>
    <w:rsid w:val="004F5968"/>
    <w:rsid w:val="0050017E"/>
    <w:rsid w:val="005029F5"/>
    <w:rsid w:val="00511FA5"/>
    <w:rsid w:val="00572D06"/>
    <w:rsid w:val="005803F8"/>
    <w:rsid w:val="00587FC2"/>
    <w:rsid w:val="0060041A"/>
    <w:rsid w:val="00625394"/>
    <w:rsid w:val="0062597C"/>
    <w:rsid w:val="00632FCD"/>
    <w:rsid w:val="00653501"/>
    <w:rsid w:val="00664DCD"/>
    <w:rsid w:val="007042ED"/>
    <w:rsid w:val="00734940"/>
    <w:rsid w:val="00740C05"/>
    <w:rsid w:val="00742260"/>
    <w:rsid w:val="0075267B"/>
    <w:rsid w:val="00770477"/>
    <w:rsid w:val="00790B56"/>
    <w:rsid w:val="00793EC5"/>
    <w:rsid w:val="00795664"/>
    <w:rsid w:val="007E021A"/>
    <w:rsid w:val="007E78A7"/>
    <w:rsid w:val="0080261D"/>
    <w:rsid w:val="008134A7"/>
    <w:rsid w:val="0081525E"/>
    <w:rsid w:val="0081608B"/>
    <w:rsid w:val="00830F81"/>
    <w:rsid w:val="00841722"/>
    <w:rsid w:val="008437B2"/>
    <w:rsid w:val="00887B11"/>
    <w:rsid w:val="00894B37"/>
    <w:rsid w:val="00896FDA"/>
    <w:rsid w:val="008A4019"/>
    <w:rsid w:val="008A62E7"/>
    <w:rsid w:val="008B11B3"/>
    <w:rsid w:val="008B732A"/>
    <w:rsid w:val="008E785B"/>
    <w:rsid w:val="0090474C"/>
    <w:rsid w:val="00936D2D"/>
    <w:rsid w:val="00943C45"/>
    <w:rsid w:val="009546EF"/>
    <w:rsid w:val="009576F0"/>
    <w:rsid w:val="00967134"/>
    <w:rsid w:val="00973147"/>
    <w:rsid w:val="00973317"/>
    <w:rsid w:val="00984C17"/>
    <w:rsid w:val="00991E01"/>
    <w:rsid w:val="009A2906"/>
    <w:rsid w:val="009D27FF"/>
    <w:rsid w:val="00A12139"/>
    <w:rsid w:val="00A32C71"/>
    <w:rsid w:val="00A33852"/>
    <w:rsid w:val="00A42B31"/>
    <w:rsid w:val="00A42F66"/>
    <w:rsid w:val="00A735E9"/>
    <w:rsid w:val="00AB24E6"/>
    <w:rsid w:val="00AD4AF6"/>
    <w:rsid w:val="00AD7067"/>
    <w:rsid w:val="00AF33AC"/>
    <w:rsid w:val="00AF4D95"/>
    <w:rsid w:val="00B0010E"/>
    <w:rsid w:val="00B03DD9"/>
    <w:rsid w:val="00B1368B"/>
    <w:rsid w:val="00B13F5E"/>
    <w:rsid w:val="00B238FE"/>
    <w:rsid w:val="00B4361B"/>
    <w:rsid w:val="00B44C34"/>
    <w:rsid w:val="00B869C9"/>
    <w:rsid w:val="00B9428D"/>
    <w:rsid w:val="00B95399"/>
    <w:rsid w:val="00BB13BE"/>
    <w:rsid w:val="00BB324A"/>
    <w:rsid w:val="00BC1E4B"/>
    <w:rsid w:val="00BD5B9A"/>
    <w:rsid w:val="00BD60B9"/>
    <w:rsid w:val="00BD7263"/>
    <w:rsid w:val="00BE13E4"/>
    <w:rsid w:val="00BF0733"/>
    <w:rsid w:val="00BF6BE0"/>
    <w:rsid w:val="00C00D91"/>
    <w:rsid w:val="00C04A4D"/>
    <w:rsid w:val="00C15AF9"/>
    <w:rsid w:val="00C26F9C"/>
    <w:rsid w:val="00C40C1F"/>
    <w:rsid w:val="00C434D6"/>
    <w:rsid w:val="00C55BD0"/>
    <w:rsid w:val="00C64AEE"/>
    <w:rsid w:val="00C64D4F"/>
    <w:rsid w:val="00C77A5F"/>
    <w:rsid w:val="00CA098F"/>
    <w:rsid w:val="00CB5443"/>
    <w:rsid w:val="00CD2CF6"/>
    <w:rsid w:val="00CD6C9F"/>
    <w:rsid w:val="00CE293D"/>
    <w:rsid w:val="00D17084"/>
    <w:rsid w:val="00D32A9D"/>
    <w:rsid w:val="00D3588F"/>
    <w:rsid w:val="00D52D13"/>
    <w:rsid w:val="00D60249"/>
    <w:rsid w:val="00D750C1"/>
    <w:rsid w:val="00D8312C"/>
    <w:rsid w:val="00D96838"/>
    <w:rsid w:val="00DB7A17"/>
    <w:rsid w:val="00DC1542"/>
    <w:rsid w:val="00DD4531"/>
    <w:rsid w:val="00DF312D"/>
    <w:rsid w:val="00DF4B8C"/>
    <w:rsid w:val="00DF7A55"/>
    <w:rsid w:val="00E1537C"/>
    <w:rsid w:val="00E40A10"/>
    <w:rsid w:val="00E411D0"/>
    <w:rsid w:val="00E465E2"/>
    <w:rsid w:val="00EC5E7A"/>
    <w:rsid w:val="00EE5022"/>
    <w:rsid w:val="00EF2AFB"/>
    <w:rsid w:val="00EF320F"/>
    <w:rsid w:val="00F10F8D"/>
    <w:rsid w:val="00F32E0F"/>
    <w:rsid w:val="00F3331E"/>
    <w:rsid w:val="00F36ABB"/>
    <w:rsid w:val="00F3795D"/>
    <w:rsid w:val="00F672AA"/>
    <w:rsid w:val="00F827D0"/>
    <w:rsid w:val="00F82A4C"/>
    <w:rsid w:val="00F834F8"/>
    <w:rsid w:val="00F9131A"/>
    <w:rsid w:val="00FA16BA"/>
    <w:rsid w:val="06C612F7"/>
    <w:rsid w:val="0910ABC8"/>
    <w:rsid w:val="0A16DC16"/>
    <w:rsid w:val="0B18AE23"/>
    <w:rsid w:val="0C484C8A"/>
    <w:rsid w:val="0D4E7CD8"/>
    <w:rsid w:val="0EA61F98"/>
    <w:rsid w:val="0EEA4D39"/>
    <w:rsid w:val="1041EFF9"/>
    <w:rsid w:val="11959EA9"/>
    <w:rsid w:val="1221EDFB"/>
    <w:rsid w:val="14CD3F6B"/>
    <w:rsid w:val="15B71C9A"/>
    <w:rsid w:val="18912F7F"/>
    <w:rsid w:val="18A72C1F"/>
    <w:rsid w:val="1AFFACF0"/>
    <w:rsid w:val="1C8AD65E"/>
    <w:rsid w:val="21DD90D4"/>
    <w:rsid w:val="2278168F"/>
    <w:rsid w:val="263124C0"/>
    <w:rsid w:val="2BA2B3F0"/>
    <w:rsid w:val="2F64E011"/>
    <w:rsid w:val="2FD80706"/>
    <w:rsid w:val="30F30170"/>
    <w:rsid w:val="31B79F66"/>
    <w:rsid w:val="364F3610"/>
    <w:rsid w:val="37EB0671"/>
    <w:rsid w:val="395463A5"/>
    <w:rsid w:val="398A9FB7"/>
    <w:rsid w:val="3A21B84D"/>
    <w:rsid w:val="3B85BA1E"/>
    <w:rsid w:val="3C6A10DF"/>
    <w:rsid w:val="3E6B82CC"/>
    <w:rsid w:val="3FCB1312"/>
    <w:rsid w:val="47512F47"/>
    <w:rsid w:val="47672BE7"/>
    <w:rsid w:val="4C906DBD"/>
    <w:rsid w:val="4D32293B"/>
    <w:rsid w:val="4F5C412C"/>
    <w:rsid w:val="50F8118D"/>
    <w:rsid w:val="513B2DCF"/>
    <w:rsid w:val="5257A1D3"/>
    <w:rsid w:val="5282A717"/>
    <w:rsid w:val="535DCED0"/>
    <w:rsid w:val="54DFAD43"/>
    <w:rsid w:val="5F3624DB"/>
    <w:rsid w:val="61223500"/>
    <w:rsid w:val="612C1F7D"/>
    <w:rsid w:val="650FC9BC"/>
    <w:rsid w:val="663C38F6"/>
    <w:rsid w:val="68476A7E"/>
    <w:rsid w:val="685FFEF7"/>
    <w:rsid w:val="6A253C76"/>
    <w:rsid w:val="6A92A1EF"/>
    <w:rsid w:val="6D2B8294"/>
    <w:rsid w:val="6DDD16E4"/>
    <w:rsid w:val="6EB6181E"/>
    <w:rsid w:val="6EC752F5"/>
    <w:rsid w:val="7051E87F"/>
    <w:rsid w:val="706B10DC"/>
    <w:rsid w:val="7316624C"/>
    <w:rsid w:val="73A2B19E"/>
    <w:rsid w:val="73B8AE3E"/>
    <w:rsid w:val="76F04F00"/>
    <w:rsid w:val="78F29A77"/>
    <w:rsid w:val="7A11F322"/>
    <w:rsid w:val="7AD3F93F"/>
    <w:rsid w:val="7BC3C023"/>
    <w:rsid w:val="7C1990D6"/>
    <w:rsid w:val="7D5F9084"/>
    <w:rsid w:val="7DB48375"/>
    <w:rsid w:val="7E0B061D"/>
    <w:rsid w:val="7FA7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E115"/>
  <w15:docId w15:val="{A99CB242-A8FB-404B-921C-21FEB5A0F1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653501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14AD9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314AD9"/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314AD9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314AD9"/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paragraph" w:styleId="paragraph" w:customStyle="1">
    <w:name w:val="paragraph"/>
    <w:basedOn w:val="Navaden"/>
    <w:rsid w:val="00BF6B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l-SI" w:eastAsia="sl-SI"/>
    </w:rPr>
  </w:style>
  <w:style w:type="character" w:styleId="normaltextrun" w:customStyle="1">
    <w:name w:val="normaltextrun"/>
    <w:basedOn w:val="Privzetapisavaodstavka"/>
    <w:rsid w:val="00BF6BE0"/>
  </w:style>
  <w:style w:type="character" w:styleId="eop" w:customStyle="1">
    <w:name w:val="eop"/>
    <w:basedOn w:val="Privzetapisavaodstavka"/>
    <w:rsid w:val="00BF6BE0"/>
  </w:style>
  <w:style w:type="character" w:styleId="scxw219178630" w:customStyle="1">
    <w:name w:val="scxw219178630"/>
    <w:basedOn w:val="Privzetapisavaodstavka"/>
    <w:rsid w:val="00BF6BE0"/>
  </w:style>
  <w:style w:type="character" w:styleId="Pripombasklic">
    <w:name w:val="annotation reference"/>
    <w:basedOn w:val="Privzetapisavaodstavka"/>
    <w:uiPriority w:val="99"/>
    <w:semiHidden/>
    <w:unhideWhenUsed/>
    <w:rsid w:val="00BF6BE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F6BE0"/>
    <w:pPr>
      <w:spacing w:line="240" w:lineRule="auto"/>
    </w:pPr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semiHidden/>
    <w:rsid w:val="00BF6BE0"/>
    <w:rPr>
      <w:rFonts w:asciiTheme="minorHAnsi" w:hAnsiTheme="minorHAnsi" w:eastAsiaTheme="minorHAnsi" w:cstheme="minorBidi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F6BE0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BF6BE0"/>
    <w:rPr>
      <w:rFonts w:asciiTheme="minorHAnsi" w:hAnsiTheme="minorHAnsi" w:eastAsiaTheme="minorHAnsi" w:cstheme="minorBidi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6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/>
    <w:rsid w:val="00BF6BE0"/>
    <w:rPr>
      <w:rFonts w:ascii="Segoe UI" w:hAnsi="Segoe UI" w:cs="Segoe UI" w:eastAsiaTheme="minorHAnsi"/>
      <w:sz w:val="18"/>
      <w:szCs w:val="18"/>
      <w:lang w:val="en-US" w:eastAsia="en-US"/>
    </w:rPr>
  </w:style>
  <w:style w:type="character" w:styleId="Hiperpovezava">
    <w:name w:val="Hyperlink"/>
    <w:basedOn w:val="Privzetapisavaodstavka"/>
    <w:uiPriority w:val="99"/>
    <w:unhideWhenUsed/>
    <w:rsid w:val="00F834F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C434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32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54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3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22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2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258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111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06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74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40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503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65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30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668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77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34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8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53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78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58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0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0055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67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68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32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4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36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45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85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12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5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1943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531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62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42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34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72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22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25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66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832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08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77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4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30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3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573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69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57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8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17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4873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2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2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31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72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6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27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835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13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73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35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76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64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5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99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18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urworldindata.org/age-structure" TargetMode="External" Id="rId13" /><Relationship Type="http://schemas.openxmlformats.org/officeDocument/2006/relationships/hyperlink" Target="http://www.socialproba.cp.gov.lk/en/social-welfare-services/services-for-the-elders.html" TargetMode="External" Id="rId18" /><Relationship Type="http://schemas.openxmlformats.org/officeDocument/2006/relationships/hyperlink" Target="https://solidaritessante.gouv.fr/IMG/pdf/french_neurodegenerativediseasesplan2014_2019-2.pdf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population.un.org/wpp/" TargetMode="External" Id="rId21" /><Relationship Type="http://schemas.openxmlformats.org/officeDocument/2006/relationships/footer" Target="footer3.xml" Id="rId34" /><Relationship Type="http://schemas.openxmlformats.org/officeDocument/2006/relationships/settings" Target="settings.xml" Id="rId7" /><Relationship Type="http://schemas.openxmlformats.org/officeDocument/2006/relationships/hyperlink" Target="https://mtgis-portal.geo.census.gov/arcgis/apps/MapSeries/index.html?appid=3d832796999042daae7982ff36835e2e" TargetMode="External" Id="rId12" /><Relationship Type="http://schemas.openxmlformats.org/officeDocument/2006/relationships/hyperlink" Target="http://www.socialproba.cp.gov.lk/en/social-welfare-services/services-for-the-elders.html" TargetMode="External" Id="rId17" /><Relationship Type="http://schemas.openxmlformats.org/officeDocument/2006/relationships/hyperlink" Target="https://www.forwardwithdementia.org/en/article/communicating-a-dementia-diagnosis/" TargetMode="External" Id="rId25" /><Relationship Type="http://schemas.openxmlformats.org/officeDocument/2006/relationships/header" Target="header3.xml" Id="rId33" /><Relationship Type="http://schemas.openxmlformats.org/officeDocument/2006/relationships/customXml" Target="../customXml/item2.xml" Id="rId2" /><Relationship Type="http://schemas.openxmlformats.org/officeDocument/2006/relationships/hyperlink" Target="https://doi.org/10.3935/LJSR.V26I3.282" TargetMode="External" Id="rId16" /><Relationship Type="http://schemas.openxmlformats.org/officeDocument/2006/relationships/hyperlink" Target="https://www.populationpyramid.net/world/2022/" TargetMode="External" Id="rId20" /><Relationship Type="http://schemas.openxmlformats.org/officeDocument/2006/relationships/header" Target="head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emographic-challenge.com/files/downloads/9ed31aa1067a5d6a50c644c46812c0fa/dc_remeasuring_aging_sanderson_scherbov_science_2010.pdf" TargetMode="External" Id="rId11" /><Relationship Type="http://schemas.openxmlformats.org/officeDocument/2006/relationships/hyperlink" Target="https://www.alzheimers.org.uk/dementia-professionals/resources-professionals/dementia-knowledge-centre" TargetMode="External" Id="rId24" /><Relationship Type="http://schemas.openxmlformats.org/officeDocument/2006/relationships/footer" Target="footer2.xml" Id="rId32" /><Relationship Type="http://schemas.openxmlformats.org/officeDocument/2006/relationships/numbering" Target="numbering.xml" Id="rId5" /><Relationship Type="http://schemas.openxmlformats.org/officeDocument/2006/relationships/hyperlink" Target="https://doi.org/10.3935/LJSR.V26I3.282" TargetMode="External" Id="rId15" /><Relationship Type="http://schemas.openxmlformats.org/officeDocument/2006/relationships/hyperlink" Target="https://doi.org/10.3389/FNUT.2022.796031" TargetMode="External" Id="rId23" /><Relationship Type="http://schemas.openxmlformats.org/officeDocument/2006/relationships/hyperlink" Target="https://doi.org/10.3389/FRESC.2021.718302" TargetMode="External" Id="rId28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hyperlink" Target="https://www.ined.fr/en/everything_about_population/graphs-maps/world-maps-interactiv/" TargetMode="External" Id="rId19" /><Relationship Type="http://schemas.openxmlformats.org/officeDocument/2006/relationships/footer" Target="footer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doi.org/10.1007/S12062-019-09248-4" TargetMode="External" Id="rId14" /><Relationship Type="http://schemas.openxmlformats.org/officeDocument/2006/relationships/hyperlink" Target="https://doi.org/10.3389/FNUT.2022.796031" TargetMode="External" Id="rId22" /><Relationship Type="http://schemas.openxmlformats.org/officeDocument/2006/relationships/hyperlink" Target="https://doi.org/10.3389/FRESC.2021.718302" TargetMode="External" Id="rId27" /><Relationship Type="http://schemas.openxmlformats.org/officeDocument/2006/relationships/header" Target="header2.xml" Id="rId30" /><Relationship Type="http://schemas.openxmlformats.org/officeDocument/2006/relationships/fontTable" Target="fontTable.xml" Id="rId35" /><Relationship Type="http://schemas.openxmlformats.org/officeDocument/2006/relationships/webSettings" Target="webSettings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BDE144FF3E842A7D36685081985DC" ma:contentTypeVersion="10" ma:contentTypeDescription="Create a new document." ma:contentTypeScope="" ma:versionID="25f001580eb7ac725d5408871c0959d5">
  <xsd:schema xmlns:xsd="http://www.w3.org/2001/XMLSchema" xmlns:xs="http://www.w3.org/2001/XMLSchema" xmlns:p="http://schemas.microsoft.com/office/2006/metadata/properties" xmlns:ns2="edf99875-157a-49db-a850-9d283a51956c" xmlns:ns3="e6f0a7b8-a18b-4be6-9d36-16a6a25561cc" targetNamespace="http://schemas.microsoft.com/office/2006/metadata/properties" ma:root="true" ma:fieldsID="72c43f4fec5785fe122d832325013831" ns2:_="" ns3:_="">
    <xsd:import namespace="edf99875-157a-49db-a850-9d283a51956c"/>
    <xsd:import namespace="e6f0a7b8-a18b-4be6-9d36-16a6a2556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9875-157a-49db-a850-9d283a519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a7b8-a18b-4be6-9d36-16a6a25561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6784e-96cd-431c-844a-ba623562ea57}" ma:internalName="TaxCatchAll" ma:showField="CatchAllData" ma:web="e6f0a7b8-a18b-4be6-9d36-16a6a2556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99875-157a-49db-a850-9d283a51956c">
      <Terms xmlns="http://schemas.microsoft.com/office/infopath/2007/PartnerControls"/>
    </lcf76f155ced4ddcb4097134ff3c332f>
    <TaxCatchAll xmlns="e6f0a7b8-a18b-4be6-9d36-16a6a25561cc" xsi:nil="true"/>
  </documentManagement>
</p:properties>
</file>

<file path=customXml/itemProps1.xml><?xml version="1.0" encoding="utf-8"?>
<ds:datastoreItem xmlns:ds="http://schemas.openxmlformats.org/officeDocument/2006/customXml" ds:itemID="{8E980720-95CE-4EBF-AEE8-7A801F93E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99875-157a-49db-a850-9d283a51956c"/>
    <ds:schemaRef ds:uri="e6f0a7b8-a18b-4be6-9d36-16a6a2556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6676F-FD8E-4A7C-A0A4-A8478BACB6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3EBE3A-19C3-46C7-AAB1-18052EDAF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063220-4736-4452-9E10-CD94BC991B23}">
  <ds:schemaRefs>
    <ds:schemaRef ds:uri="http://schemas.microsoft.com/office/2006/metadata/properties"/>
    <ds:schemaRef ds:uri="http://schemas.microsoft.com/office/infopath/2007/PartnerControls"/>
    <ds:schemaRef ds:uri="edf99875-157a-49db-a850-9d283a51956c"/>
    <ds:schemaRef ds:uri="e6f0a7b8-a18b-4be6-9d36-16a6a25561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STUDENT</dc:creator>
  <lastModifiedBy>sudath@dcn.cmb.ac.lk</lastModifiedBy>
  <revision>3</revision>
  <dcterms:created xsi:type="dcterms:W3CDTF">2023-08-24T10:48:00.0000000Z</dcterms:created>
  <dcterms:modified xsi:type="dcterms:W3CDTF">2024-03-30T10:53:42.5820656Z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B7C6DA7E4D1C4AB3A51D48656E975E1F</vt:lpwstr>
  </property>
  <property fmtid="{D5CDD505-2E9C-101B-9397-08002B2CF9AE}" pid="4" name="MSIP_Label_9144ccec-98ca-4847-b090-103d5c6592f4_Enabled">
    <vt:lpwstr>true</vt:lpwstr>
  </property>
  <property fmtid="{D5CDD505-2E9C-101B-9397-08002B2CF9AE}" pid="5" name="MSIP_Label_9144ccec-98ca-4847-b090-103d5c6592f4_SetDate">
    <vt:lpwstr>2022-06-13T08:45:41Z</vt:lpwstr>
  </property>
  <property fmtid="{D5CDD505-2E9C-101B-9397-08002B2CF9AE}" pid="6" name="MSIP_Label_9144ccec-98ca-4847-b090-103d5c6592f4_Method">
    <vt:lpwstr>Standard</vt:lpwstr>
  </property>
  <property fmtid="{D5CDD505-2E9C-101B-9397-08002B2CF9AE}" pid="7" name="MSIP_Label_9144ccec-98ca-4847-b090-103d5c6592f4_Name">
    <vt:lpwstr>Information class 1</vt:lpwstr>
  </property>
  <property fmtid="{D5CDD505-2E9C-101B-9397-08002B2CF9AE}" pid="8" name="MSIP_Label_9144ccec-98ca-4847-b090-103d5c6592f4_SiteId">
    <vt:lpwstr>fb665cd7-b4b7-4578-8a42-29ff69176bdf</vt:lpwstr>
  </property>
  <property fmtid="{D5CDD505-2E9C-101B-9397-08002B2CF9AE}" pid="9" name="MSIP_Label_9144ccec-98ca-4847-b090-103d5c6592f4_ActionId">
    <vt:lpwstr>72f151d2-d732-4b32-a709-ba480e574e02</vt:lpwstr>
  </property>
  <property fmtid="{D5CDD505-2E9C-101B-9397-08002B2CF9AE}" pid="10" name="MSIP_Label_9144ccec-98ca-4847-b090-103d5c6592f4_ContentBits">
    <vt:lpwstr>0</vt:lpwstr>
  </property>
  <property fmtid="{D5CDD505-2E9C-101B-9397-08002B2CF9AE}" pid="11" name="ContentTypeId">
    <vt:lpwstr>0x0101005C6BDE144FF3E842A7D36685081985DC</vt:lpwstr>
  </property>
  <property fmtid="{D5CDD505-2E9C-101B-9397-08002B2CF9AE}" pid="12" name="MediaServiceImageTags">
    <vt:lpwstr/>
  </property>
  <property fmtid="{D5CDD505-2E9C-101B-9397-08002B2CF9AE}" pid="13" name="GrammarlyDocumentId">
    <vt:lpwstr>4286bc6cec9b5b576ad04ac54966c596a38af841d00415fd0b084f861f25d36a</vt:lpwstr>
  </property>
</Properties>
</file>